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b w:val="0"/>
          <w:bCs w:val="0"/>
          <w:color w:val="333333"/>
          <w:sz w:val="42"/>
          <w:szCs w:val="42"/>
          <w:shd w:val="clear" w:fill="FFFFFF"/>
          <w:lang w:val="en-US" w:eastAsia="zh-CN"/>
        </w:rPr>
      </w:pPr>
      <w:r>
        <w:rPr>
          <w:rFonts w:hint="default" w:ascii="Times New Roman" w:hAnsi="Times New Roman" w:eastAsia="方正小标宋简体" w:cs="Times New Roman"/>
          <w:b w:val="0"/>
          <w:bCs w:val="0"/>
          <w:color w:val="333333"/>
          <w:sz w:val="42"/>
          <w:szCs w:val="42"/>
          <w:shd w:val="clear" w:fill="FFFFFF"/>
          <w:lang w:val="en-US" w:eastAsia="zh-CN"/>
        </w:rPr>
        <w:t>临沂市罗庄区2023年政府信息公开工作</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b w:val="0"/>
          <w:bCs w:val="0"/>
          <w:sz w:val="42"/>
          <w:szCs w:val="42"/>
          <w:shd w:val="clear" w:fill="FFFFFF"/>
        </w:rPr>
      </w:pPr>
      <w:r>
        <w:rPr>
          <w:rFonts w:hint="default" w:ascii="Times New Roman" w:hAnsi="Times New Roman" w:eastAsia="方正小标宋简体" w:cs="Times New Roman"/>
          <w:b w:val="0"/>
          <w:bCs w:val="0"/>
          <w:sz w:val="42"/>
          <w:szCs w:val="42"/>
          <w:shd w:val="clear" w:fill="FFFFFF"/>
        </w:rPr>
        <w:t>年</w:t>
      </w:r>
      <w:r>
        <w:rPr>
          <w:rFonts w:hint="default" w:ascii="Times New Roman" w:hAnsi="Times New Roman" w:eastAsia="方正小标宋简体" w:cs="Times New Roman"/>
          <w:b w:val="0"/>
          <w:bCs w:val="0"/>
          <w:sz w:val="42"/>
          <w:szCs w:val="42"/>
          <w:shd w:val="clear" w:fill="FFFFFF"/>
          <w:lang w:val="en-US" w:eastAsia="zh-CN"/>
        </w:rPr>
        <w:t xml:space="preserve"> </w:t>
      </w:r>
      <w:r>
        <w:rPr>
          <w:rFonts w:hint="default" w:ascii="Times New Roman" w:hAnsi="Times New Roman" w:eastAsia="方正小标宋简体" w:cs="Times New Roman"/>
          <w:b w:val="0"/>
          <w:bCs w:val="0"/>
          <w:sz w:val="42"/>
          <w:szCs w:val="42"/>
          <w:shd w:val="clear" w:fill="FFFFFF"/>
        </w:rPr>
        <w:t>度</w:t>
      </w:r>
      <w:r>
        <w:rPr>
          <w:rFonts w:hint="default" w:ascii="Times New Roman" w:hAnsi="Times New Roman" w:eastAsia="方正小标宋简体" w:cs="Times New Roman"/>
          <w:b w:val="0"/>
          <w:bCs w:val="0"/>
          <w:sz w:val="42"/>
          <w:szCs w:val="42"/>
          <w:shd w:val="clear" w:fill="FFFFFF"/>
          <w:lang w:val="en-US" w:eastAsia="zh-CN"/>
        </w:rPr>
        <w:t xml:space="preserve"> </w:t>
      </w:r>
      <w:r>
        <w:rPr>
          <w:rFonts w:hint="default" w:ascii="Times New Roman" w:hAnsi="Times New Roman" w:eastAsia="方正小标宋简体" w:cs="Times New Roman"/>
          <w:b w:val="0"/>
          <w:bCs w:val="0"/>
          <w:sz w:val="42"/>
          <w:szCs w:val="42"/>
          <w:shd w:val="clear" w:fill="FFFFFF"/>
        </w:rPr>
        <w:t>报</w:t>
      </w:r>
      <w:r>
        <w:rPr>
          <w:rFonts w:hint="default" w:ascii="Times New Roman" w:hAnsi="Times New Roman" w:eastAsia="方正小标宋简体" w:cs="Times New Roman"/>
          <w:b w:val="0"/>
          <w:bCs w:val="0"/>
          <w:sz w:val="42"/>
          <w:szCs w:val="42"/>
          <w:shd w:val="clear" w:fill="FFFFFF"/>
          <w:lang w:val="en-US" w:eastAsia="zh-CN"/>
        </w:rPr>
        <w:t xml:space="preserve"> </w:t>
      </w:r>
      <w:r>
        <w:rPr>
          <w:rFonts w:hint="default" w:ascii="Times New Roman" w:hAnsi="Times New Roman" w:eastAsia="方正小标宋简体" w:cs="Times New Roman"/>
          <w:b w:val="0"/>
          <w:bCs w:val="0"/>
          <w:sz w:val="42"/>
          <w:szCs w:val="42"/>
          <w:shd w:val="clear" w:fill="FFFFFF"/>
        </w:rPr>
        <w:t>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0" w:lineRule="exact"/>
        <w:ind w:right="0"/>
        <w:jc w:val="both"/>
        <w:textAlignment w:val="auto"/>
        <w:rPr>
          <w:rFonts w:hint="default" w:ascii="Times New Roman" w:hAnsi="Times New Roman" w:eastAsia="仿宋_GB2312" w:cs="Times New Roman"/>
          <w:i w:val="0"/>
          <w:iCs w:val="0"/>
          <w:caps w:val="0"/>
          <w:color w:val="666666"/>
          <w:spacing w:val="0"/>
          <w:sz w:val="31"/>
          <w:szCs w:val="31"/>
          <w:shd w:val="clear" w:fill="FFFFFF"/>
        </w:rPr>
      </w:pPr>
    </w:p>
    <w:p>
      <w:pPr>
        <w:keepNext w:val="0"/>
        <w:keepLines w:val="0"/>
        <w:pageBreakBefore w:val="0"/>
        <w:widowControl w:val="0"/>
        <w:kinsoku/>
        <w:wordWrap/>
        <w:overflowPunct/>
        <w:topLinePunct w:val="0"/>
        <w:autoSpaceDE/>
        <w:autoSpaceDN/>
        <w:bidi w:val="0"/>
        <w:adjustRightInd w:val="0"/>
        <w:snapToGrid w:val="0"/>
        <w:spacing w:line="590" w:lineRule="exact"/>
        <w:ind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本年度报告根据《中华人民共和国政府信息公开条例》（以下简称《条例》）和《国务院办公厅政府信息与政务公开办公室关于印发&lt;中华人民共和国政府信息公开工作年度报告格式&gt;的通知》及有关法律法规的要求编制。全文包括总体情况、主动公开政府信息情况、收到和处理政府信息公开申请情况、因政府信息公开工作被申请行政复议和提起行政诉讼情况、政府信息公开工作存在的主要问题及改进情况，以及其他需要报告的事项。本年度报告中所列数据的统计期限从2023年1月1日至2023年12月31日止。本报告电子版可在罗庄区政府门户网站（http://www.luozhuang.gov.cn/index.htm）下载。如有疑问，请联系罗庄区人民政府办公室（地址：罗庄区开元路1号行政办公大楼；邮编：276017；电话：0539-8246639；电子邮箱：</w:t>
      </w:r>
      <w:r>
        <w:rPr>
          <w:rFonts w:hint="default" w:ascii="Times New Roman" w:hAnsi="Times New Roman" w:eastAsia="方正仿宋简体" w:cs="Times New Roman"/>
          <w:color w:val="000000"/>
          <w:kern w:val="2"/>
          <w:sz w:val="31"/>
          <w:szCs w:val="32"/>
          <w:lang w:val="en-US" w:eastAsia="zh-CN" w:bidi="ar"/>
        </w:rPr>
        <w:fldChar w:fldCharType="begin"/>
      </w:r>
      <w:r>
        <w:rPr>
          <w:rFonts w:hint="default" w:ascii="Times New Roman" w:hAnsi="Times New Roman" w:eastAsia="方正仿宋简体" w:cs="Times New Roman"/>
          <w:color w:val="000000"/>
          <w:kern w:val="2"/>
          <w:sz w:val="31"/>
          <w:szCs w:val="32"/>
          <w:lang w:val="en-US" w:eastAsia="zh-CN" w:bidi="ar"/>
        </w:rPr>
        <w:instrText xml:space="preserve"> HYPERLINK "mailto:lzqdzzwb@ly.shandong.cn）。" </w:instrText>
      </w:r>
      <w:r>
        <w:rPr>
          <w:rFonts w:hint="default" w:ascii="Times New Roman" w:hAnsi="Times New Roman" w:eastAsia="方正仿宋简体" w:cs="Times New Roman"/>
          <w:color w:val="000000"/>
          <w:kern w:val="2"/>
          <w:sz w:val="31"/>
          <w:szCs w:val="32"/>
          <w:lang w:val="en-US" w:eastAsia="zh-CN" w:bidi="ar"/>
        </w:rPr>
        <w:fldChar w:fldCharType="separate"/>
      </w:r>
      <w:r>
        <w:rPr>
          <w:rFonts w:hint="default" w:ascii="Times New Roman" w:hAnsi="Times New Roman" w:eastAsia="方正仿宋简体" w:cs="Times New Roman"/>
          <w:color w:val="000000"/>
          <w:kern w:val="2"/>
          <w:sz w:val="31"/>
          <w:szCs w:val="32"/>
          <w:lang w:val="en-US" w:eastAsia="zh-CN" w:bidi="ar"/>
        </w:rPr>
        <w:t>lzqdzzwb@ly.shandong.cn）。</w:t>
      </w:r>
      <w:r>
        <w:rPr>
          <w:rFonts w:hint="default" w:ascii="Times New Roman" w:hAnsi="Times New Roman" w:eastAsia="方正仿宋简体" w:cs="Times New Roman"/>
          <w:color w:val="000000"/>
          <w:kern w:val="2"/>
          <w:sz w:val="31"/>
          <w:szCs w:val="32"/>
          <w:lang w:val="en-US" w:eastAsia="zh-CN" w:bidi="ar"/>
        </w:rPr>
        <w:fldChar w:fldCharType="end"/>
      </w:r>
    </w:p>
    <w:p>
      <w:pPr>
        <w:pStyle w:val="7"/>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right="0" w:firstLine="620" w:firstLineChars="200"/>
        <w:jc w:val="both"/>
        <w:textAlignment w:val="auto"/>
        <w:rPr>
          <w:rFonts w:hint="default" w:ascii="Times New Roman" w:hAnsi="Times New Roman" w:eastAsia="方正黑体简体" w:cs="Times New Roman"/>
          <w:i w:val="0"/>
          <w:iCs w:val="0"/>
          <w:caps w:val="0"/>
          <w:color w:val="000000"/>
          <w:spacing w:val="0"/>
          <w:sz w:val="31"/>
          <w:szCs w:val="31"/>
        </w:rPr>
      </w:pPr>
      <w:r>
        <w:rPr>
          <w:rFonts w:hint="default" w:ascii="Times New Roman" w:hAnsi="Times New Roman" w:eastAsia="方正黑体简体" w:cs="Times New Roman"/>
          <w:i w:val="0"/>
          <w:iCs w:val="0"/>
          <w:caps w:val="0"/>
          <w:color w:val="000000"/>
          <w:spacing w:val="0"/>
          <w:sz w:val="31"/>
          <w:szCs w:val="31"/>
        </w:rPr>
        <w:t>一、总体情况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2023年，罗庄区人民政府坚持以习近平新时代中国特色社会主义思想为指导，深入学习党的二十大精神，全面落实国家和省、市关于推进政务公开工作的决策部署，立足新发展阶段，树立新发展理念，进一步细化公开内容、拓宽公开渠道、优化公开服务，不断提升全区政务公开工作水平，为全力打造“富强精美现代化新罗庄”提供有力支撑。</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楷体简体" w:cs="Times New Roman"/>
          <w:i w:val="0"/>
          <w:iCs w:val="0"/>
          <w:caps w:val="0"/>
          <w:color w:val="auto"/>
          <w:spacing w:val="0"/>
          <w:sz w:val="31"/>
          <w:szCs w:val="31"/>
        </w:rPr>
      </w:pPr>
      <w:r>
        <w:rPr>
          <w:rFonts w:hint="default" w:ascii="Times New Roman" w:hAnsi="Times New Roman" w:eastAsia="方正楷体简体" w:cs="Times New Roman"/>
          <w:i w:val="0"/>
          <w:iCs w:val="0"/>
          <w:caps w:val="0"/>
          <w:color w:val="auto"/>
          <w:spacing w:val="0"/>
          <w:sz w:val="31"/>
          <w:szCs w:val="31"/>
          <w:lang w:eastAsia="zh-CN"/>
        </w:rPr>
        <w:t>（</w:t>
      </w:r>
      <w:r>
        <w:rPr>
          <w:rFonts w:hint="default" w:ascii="Times New Roman" w:hAnsi="Times New Roman" w:eastAsia="方正楷体简体" w:cs="Times New Roman"/>
          <w:i w:val="0"/>
          <w:iCs w:val="0"/>
          <w:caps w:val="0"/>
          <w:color w:val="auto"/>
          <w:spacing w:val="0"/>
          <w:sz w:val="31"/>
          <w:szCs w:val="31"/>
        </w:rPr>
        <w:t>一</w:t>
      </w:r>
      <w:r>
        <w:rPr>
          <w:rFonts w:hint="default" w:ascii="Times New Roman" w:hAnsi="Times New Roman" w:eastAsia="方正楷体简体" w:cs="Times New Roman"/>
          <w:i w:val="0"/>
          <w:iCs w:val="0"/>
          <w:caps w:val="0"/>
          <w:color w:val="auto"/>
          <w:spacing w:val="0"/>
          <w:sz w:val="31"/>
          <w:szCs w:val="31"/>
          <w:lang w:eastAsia="zh-CN"/>
        </w:rPr>
        <w:t>）</w:t>
      </w:r>
      <w:r>
        <w:rPr>
          <w:rFonts w:hint="default" w:ascii="Times New Roman" w:hAnsi="Times New Roman" w:eastAsia="方正楷体简体" w:cs="Times New Roman"/>
          <w:i w:val="0"/>
          <w:iCs w:val="0"/>
          <w:caps w:val="0"/>
          <w:color w:val="auto"/>
          <w:spacing w:val="0"/>
          <w:sz w:val="31"/>
          <w:szCs w:val="31"/>
        </w:rPr>
        <w:t>主动公开方面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2"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b/>
          <w:bCs/>
          <w:color w:val="000000"/>
          <w:kern w:val="2"/>
          <w:sz w:val="31"/>
          <w:szCs w:val="32"/>
          <w:lang w:val="en-US" w:eastAsia="zh-CN" w:bidi="ar"/>
        </w:rPr>
        <w:t>一是深化政务公开，狠抓工作落实。</w:t>
      </w:r>
      <w:r>
        <w:rPr>
          <w:rFonts w:hint="default" w:ascii="Times New Roman" w:hAnsi="Times New Roman" w:eastAsia="方正仿宋简体" w:cs="Times New Roman"/>
          <w:color w:val="000000"/>
          <w:kern w:val="2"/>
          <w:sz w:val="31"/>
          <w:szCs w:val="32"/>
          <w:lang w:val="en-US" w:eastAsia="zh-CN" w:bidi="ar"/>
        </w:rPr>
        <w:t>围绕推进行政决策公开透明、政策集中统一公开、政策精细化解读，推进行政权力运行公开，将政务公开要求贯穿于政务运行全过程。2023年主动公开政府信息8727条，概况类信息492条，政务动态类信息1580条，法定公开信息5120条。</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color w:val="FF0000"/>
          <w:kern w:val="2"/>
          <w:sz w:val="32"/>
          <w:szCs w:val="32"/>
          <w:u w:val="none"/>
          <w:lang w:val="en-US" w:eastAsia="zh-CN" w:bidi="ar"/>
        </w:rPr>
      </w:pPr>
      <w:r>
        <w:rPr>
          <w:rFonts w:hint="default" w:ascii="Times New Roman" w:hAnsi="Times New Roman" w:cs="Times New Roman"/>
          <w:color w:val="FF0000"/>
          <w:kern w:val="2"/>
          <w:sz w:val="32"/>
          <w:szCs w:val="32"/>
          <w:u w:val="none"/>
          <w:lang w:val="en-US" w:eastAsia="zh-CN" w:bidi="ar"/>
        </w:rPr>
        <w:drawing>
          <wp:inline distT="0" distB="0" distL="114300" distR="114300">
            <wp:extent cx="5364480" cy="2572385"/>
            <wp:effectExtent l="0" t="0" r="0" b="0"/>
            <wp:docPr id="2" name="图片 2" descr="政务公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政务公开1"/>
                    <pic:cNvPicPr>
                      <a:picLocks noChangeAspect="1"/>
                    </pic:cNvPicPr>
                  </pic:nvPicPr>
                  <pic:blipFill>
                    <a:blip r:embed="rId5"/>
                    <a:stretch>
                      <a:fillRect/>
                    </a:stretch>
                  </pic:blipFill>
                  <pic:spPr>
                    <a:xfrm>
                      <a:off x="0" y="0"/>
                      <a:ext cx="5364480" cy="2572385"/>
                    </a:xfrm>
                    <a:prstGeom prst="rect">
                      <a:avLst/>
                    </a:prstGeom>
                  </pic:spPr>
                </pic:pic>
              </a:graphicData>
            </a:graphic>
          </wp:inline>
        </w:drawing>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2"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b/>
          <w:bCs/>
          <w:color w:val="000000"/>
          <w:kern w:val="2"/>
          <w:sz w:val="31"/>
          <w:szCs w:val="32"/>
          <w:lang w:val="en-US" w:eastAsia="zh-CN" w:bidi="ar"/>
        </w:rPr>
        <w:t>二是精准解读政策，护航经济发展。</w:t>
      </w:r>
      <w:r>
        <w:rPr>
          <w:rFonts w:hint="default" w:ascii="Times New Roman" w:hAnsi="Times New Roman" w:eastAsia="方正仿宋简体" w:cs="Times New Roman"/>
          <w:color w:val="000000"/>
          <w:kern w:val="2"/>
          <w:sz w:val="31"/>
          <w:szCs w:val="32"/>
          <w:lang w:val="en-US" w:eastAsia="zh-CN" w:bidi="ar"/>
        </w:rPr>
        <w:t>围绕激发市场活力、乡村振兴、民生保障等工作，按照“谁起草、谁解读”原则，将“政策解读”环节嵌入公文制发基本流程，切实推动政策解读与文件同步组织、同步审签、同步部署。灵活采用图文、音视频和动漫等形式解读文件，做到政策解读“零距离”。2023年共制作公开政策解读材料125件，其中，部门解读、专家负责人解读和简明问答等专业性较强的文字类解读72件，图表、图解、音视频和动漫解读等群众喜闻乐见接受度高的解读40件，领导访谈、媒体解读等媒体评论13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eastAsiaTheme="minorEastAsia"/>
          <w:color w:val="000000"/>
          <w:kern w:val="2"/>
          <w:sz w:val="32"/>
          <w:szCs w:val="32"/>
          <w:lang w:val="en-US" w:eastAsia="zh-CN" w:bidi="ar"/>
        </w:rPr>
      </w:pPr>
      <w:r>
        <w:rPr>
          <w:rFonts w:hint="default" w:ascii="Times New Roman" w:hAnsi="Times New Roman" w:cs="Times New Roman" w:eastAsiaTheme="minorEastAsia"/>
          <w:color w:val="000000"/>
          <w:kern w:val="2"/>
          <w:sz w:val="32"/>
          <w:szCs w:val="32"/>
          <w:lang w:val="en-US" w:eastAsia="zh-CN" w:bidi="ar"/>
        </w:rPr>
        <w:drawing>
          <wp:inline distT="0" distB="0" distL="114300" distR="114300">
            <wp:extent cx="5364480" cy="2572385"/>
            <wp:effectExtent l="0" t="0" r="0" b="0"/>
            <wp:docPr id="3" name="图片 3" descr="政策解读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政策解读1"/>
                    <pic:cNvPicPr>
                      <a:picLocks noChangeAspect="1"/>
                    </pic:cNvPicPr>
                  </pic:nvPicPr>
                  <pic:blipFill>
                    <a:blip r:embed="rId6"/>
                    <a:stretch>
                      <a:fillRect/>
                    </a:stretch>
                  </pic:blipFill>
                  <pic:spPr>
                    <a:xfrm>
                      <a:off x="0" y="0"/>
                      <a:ext cx="5364480" cy="2572385"/>
                    </a:xfrm>
                    <a:prstGeom prst="rect">
                      <a:avLst/>
                    </a:prstGeom>
                  </pic:spPr>
                </pic:pic>
              </a:graphicData>
            </a:graphic>
          </wp:inline>
        </w:drawing>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2"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b/>
          <w:bCs/>
          <w:color w:val="000000"/>
          <w:kern w:val="2"/>
          <w:sz w:val="31"/>
          <w:szCs w:val="32"/>
          <w:lang w:val="en-US" w:eastAsia="zh-CN" w:bidi="ar"/>
        </w:rPr>
        <w:t>三是加强政民互动，提升服务效能。</w:t>
      </w:r>
      <w:r>
        <w:rPr>
          <w:rFonts w:hint="default" w:ascii="Times New Roman" w:hAnsi="Times New Roman" w:eastAsia="方正仿宋简体" w:cs="Times New Roman"/>
          <w:color w:val="000000"/>
          <w:kern w:val="2"/>
          <w:sz w:val="31"/>
          <w:szCs w:val="32"/>
          <w:lang w:val="en-US" w:eastAsia="zh-CN" w:bidi="ar"/>
        </w:rPr>
        <w:t>积极畅通政民沟通渠道，方便企业和群众办事。2023年，通过区长信箱等方式收到群众留言316条，全部答复办结，平均办理时间1.5天；发布征集调查30期，举行政府开放日活动6期、在线访谈10期，政府工作透明度不断提升，人民群众对政务服务的满意度、获得感切实增强。</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楷体简体" w:cs="Times New Roman"/>
          <w:i w:val="0"/>
          <w:iCs w:val="0"/>
          <w:caps w:val="0"/>
          <w:color w:val="auto"/>
          <w:spacing w:val="0"/>
          <w:sz w:val="31"/>
          <w:szCs w:val="31"/>
          <w:lang w:eastAsia="zh-CN"/>
        </w:rPr>
      </w:pPr>
      <w:r>
        <w:rPr>
          <w:rFonts w:hint="default" w:ascii="Times New Roman" w:hAnsi="Times New Roman" w:eastAsia="方正楷体简体" w:cs="Times New Roman"/>
          <w:i w:val="0"/>
          <w:iCs w:val="0"/>
          <w:caps w:val="0"/>
          <w:color w:val="auto"/>
          <w:spacing w:val="0"/>
          <w:sz w:val="31"/>
          <w:szCs w:val="31"/>
          <w:lang w:eastAsia="zh-CN"/>
        </w:rPr>
        <w:t>（二）依申请公开</w:t>
      </w:r>
      <w:r>
        <w:rPr>
          <w:rFonts w:hint="default" w:ascii="Times New Roman" w:hAnsi="Times New Roman" w:eastAsia="方正楷体简体" w:cs="Times New Roman"/>
          <w:i w:val="0"/>
          <w:iCs w:val="0"/>
          <w:caps w:val="0"/>
          <w:color w:val="auto"/>
          <w:spacing w:val="0"/>
          <w:sz w:val="31"/>
          <w:szCs w:val="31"/>
          <w:lang w:val="en-US" w:eastAsia="zh-CN"/>
        </w:rPr>
        <w:t>方面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围绕人民群众急难愁盼和政府部门法定职责，完善依申请公开会商审查制度，注重加强部门协作，充分发挥部门会商及法律顾问审查的作用，严格把好信息公开类案件“审理关”，促进依法依规做好政府信息依申请公开答复工作。2023年，全区共收到政府信息公开申请157件，同比增加63.5%。其中予以公开106件，占比67.5%；部分公开8件，占比5.1%；不予公开3件，占比1.9%；无法提供34件，占比21.7%；不予处理1件，占比0.6%；其他处理5件，占比3.2%，依法依规按时答复率100%。2023年，收到因政府信息公开提起的行政复议5件、行政诉讼1件，均按程序办理。</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eastAsiaTheme="minorEastAsia"/>
          <w:i w:val="0"/>
          <w:iCs w:val="0"/>
          <w:caps w:val="0"/>
          <w:color w:val="000000"/>
          <w:spacing w:val="0"/>
          <w:kern w:val="2"/>
          <w:sz w:val="32"/>
          <w:szCs w:val="32"/>
          <w:lang w:val="en-US" w:eastAsia="zh-CN"/>
        </w:rPr>
      </w:pPr>
      <w:r>
        <w:rPr>
          <w:rFonts w:hint="default" w:ascii="Times New Roman" w:hAnsi="Times New Roman" w:cs="Times New Roman" w:eastAsiaTheme="minorEastAsia"/>
          <w:i w:val="0"/>
          <w:iCs w:val="0"/>
          <w:caps w:val="0"/>
          <w:color w:val="000000"/>
          <w:spacing w:val="0"/>
          <w:kern w:val="2"/>
          <w:sz w:val="32"/>
          <w:szCs w:val="32"/>
          <w:lang w:val="en-US" w:eastAsia="zh-CN"/>
        </w:rPr>
        <w:drawing>
          <wp:inline distT="0" distB="0" distL="114300" distR="114300">
            <wp:extent cx="5364480" cy="2566670"/>
            <wp:effectExtent l="0" t="0" r="0" b="0"/>
            <wp:docPr id="6" name="图片 6" descr="依申请公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依申请公开1"/>
                    <pic:cNvPicPr>
                      <a:picLocks noChangeAspect="1"/>
                    </pic:cNvPicPr>
                  </pic:nvPicPr>
                  <pic:blipFill>
                    <a:blip r:embed="rId7"/>
                    <a:stretch>
                      <a:fillRect/>
                    </a:stretch>
                  </pic:blipFill>
                  <pic:spPr>
                    <a:xfrm>
                      <a:off x="0" y="0"/>
                      <a:ext cx="5364480" cy="2566670"/>
                    </a:xfrm>
                    <a:prstGeom prst="rect">
                      <a:avLst/>
                    </a:prstGeom>
                  </pic:spPr>
                </pic:pic>
              </a:graphicData>
            </a:graphic>
          </wp:inline>
        </w:drawing>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eastAsiaTheme="minorEastAsia"/>
          <w:i w:val="0"/>
          <w:iCs w:val="0"/>
          <w:caps w:val="0"/>
          <w:color w:val="000000"/>
          <w:spacing w:val="0"/>
          <w:kern w:val="2"/>
          <w:sz w:val="32"/>
          <w:szCs w:val="32"/>
          <w:lang w:val="en-US" w:eastAsia="zh-CN"/>
        </w:rPr>
      </w:pPr>
      <w:r>
        <w:rPr>
          <w:rFonts w:hint="default" w:ascii="Times New Roman" w:hAnsi="Times New Roman" w:cs="Times New Roman" w:eastAsiaTheme="minorEastAsia"/>
          <w:i w:val="0"/>
          <w:iCs w:val="0"/>
          <w:caps w:val="0"/>
          <w:color w:val="000000"/>
          <w:spacing w:val="0"/>
          <w:kern w:val="2"/>
          <w:sz w:val="32"/>
          <w:szCs w:val="32"/>
          <w:lang w:val="en-US" w:eastAsia="zh-CN"/>
        </w:rPr>
        <w:drawing>
          <wp:inline distT="0" distB="0" distL="114300" distR="114300">
            <wp:extent cx="5364480" cy="2572385"/>
            <wp:effectExtent l="0" t="0" r="0" b="0"/>
            <wp:docPr id="5" name="图片 5" descr="变化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变化图1"/>
                    <pic:cNvPicPr>
                      <a:picLocks noChangeAspect="1"/>
                    </pic:cNvPicPr>
                  </pic:nvPicPr>
                  <pic:blipFill>
                    <a:blip r:embed="rId8"/>
                    <a:stretch>
                      <a:fillRect/>
                    </a:stretch>
                  </pic:blipFill>
                  <pic:spPr>
                    <a:xfrm>
                      <a:off x="0" y="0"/>
                      <a:ext cx="5364480" cy="2572385"/>
                    </a:xfrm>
                    <a:prstGeom prst="rect">
                      <a:avLst/>
                    </a:prstGeom>
                  </pic:spPr>
                </pic:pic>
              </a:graphicData>
            </a:graphic>
          </wp:inline>
        </w:drawing>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楷体简体" w:cs="Times New Roman"/>
          <w:i w:val="0"/>
          <w:iCs w:val="0"/>
          <w:caps w:val="0"/>
          <w:color w:val="auto"/>
          <w:spacing w:val="0"/>
          <w:sz w:val="31"/>
          <w:szCs w:val="31"/>
          <w:lang w:val="en-US" w:eastAsia="zh-CN"/>
        </w:rPr>
      </w:pPr>
      <w:r>
        <w:rPr>
          <w:rFonts w:hint="default" w:ascii="Times New Roman" w:hAnsi="Times New Roman" w:eastAsia="方正楷体简体" w:cs="Times New Roman"/>
          <w:i w:val="0"/>
          <w:iCs w:val="0"/>
          <w:caps w:val="0"/>
          <w:color w:val="auto"/>
          <w:spacing w:val="0"/>
          <w:sz w:val="31"/>
          <w:szCs w:val="31"/>
          <w:lang w:val="en-US" w:eastAsia="zh-CN"/>
        </w:rPr>
        <w:t>（三）政府信息管理方面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2"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b/>
          <w:bCs/>
          <w:color w:val="000000"/>
          <w:kern w:val="2"/>
          <w:sz w:val="31"/>
          <w:szCs w:val="32"/>
          <w:lang w:val="en-US" w:eastAsia="zh-CN" w:bidi="ar"/>
        </w:rPr>
        <w:t>一是巩固和做好信息发布审查工作。</w:t>
      </w:r>
      <w:r>
        <w:rPr>
          <w:rFonts w:hint="default" w:ascii="Times New Roman" w:hAnsi="Times New Roman" w:eastAsia="方正仿宋简体" w:cs="Times New Roman"/>
          <w:color w:val="000000"/>
          <w:kern w:val="2"/>
          <w:sz w:val="31"/>
          <w:szCs w:val="32"/>
          <w:lang w:val="en-US" w:eastAsia="zh-CN" w:bidi="ar"/>
        </w:rPr>
        <w:t>完善政府信息发布制度和保密审查制度，规范信息发布程序，确保信息发布的准确性、安全性和高效性。</w:t>
      </w:r>
      <w:r>
        <w:rPr>
          <w:rFonts w:hint="default" w:ascii="Times New Roman" w:hAnsi="Times New Roman" w:eastAsia="方正仿宋简体" w:cs="Times New Roman"/>
          <w:b/>
          <w:bCs/>
          <w:color w:val="000000"/>
          <w:kern w:val="2"/>
          <w:sz w:val="31"/>
          <w:szCs w:val="32"/>
          <w:lang w:val="en-US" w:eastAsia="zh-CN" w:bidi="ar"/>
        </w:rPr>
        <w:t>二是优化区政府门户网站内容归集。</w:t>
      </w:r>
      <w:r>
        <w:rPr>
          <w:rFonts w:hint="default" w:ascii="Times New Roman" w:hAnsi="Times New Roman" w:eastAsia="方正仿宋简体" w:cs="Times New Roman"/>
          <w:color w:val="000000"/>
          <w:kern w:val="2"/>
          <w:sz w:val="31"/>
          <w:szCs w:val="32"/>
          <w:lang w:val="en-US" w:eastAsia="zh-CN" w:bidi="ar"/>
        </w:rPr>
        <w:t>建立政策文件库，梳理政策文件1000余件，完成政府网站后台数据库改造。开展行政处罚和行政强制事项网上要素梳理工作，对相关事项的要素、设定依据、办理流程、常见问题和法律救济途径进行规范。</w:t>
      </w:r>
      <w:r>
        <w:rPr>
          <w:rFonts w:hint="default" w:ascii="Times New Roman" w:hAnsi="Times New Roman" w:eastAsia="方正仿宋简体" w:cs="Times New Roman"/>
          <w:b/>
          <w:bCs/>
          <w:color w:val="000000"/>
          <w:kern w:val="2"/>
          <w:sz w:val="31"/>
          <w:szCs w:val="32"/>
          <w:lang w:val="en-US" w:eastAsia="zh-CN" w:bidi="ar"/>
        </w:rPr>
        <w:t>三是高质量发布现行有效行政规范性文件。</w:t>
      </w:r>
      <w:r>
        <w:rPr>
          <w:rFonts w:hint="default" w:ascii="Times New Roman" w:hAnsi="Times New Roman" w:eastAsia="方正仿宋简体" w:cs="Times New Roman"/>
          <w:color w:val="000000"/>
          <w:kern w:val="2"/>
          <w:sz w:val="31"/>
          <w:szCs w:val="32"/>
          <w:lang w:val="en-US" w:eastAsia="zh-CN" w:bidi="ar"/>
        </w:rPr>
        <w:t>结合行政规范性文件年度全面清理工作，对规范性文件数据库进行再梳理、再核对，查漏补缺，及时更新。</w:t>
      </w:r>
      <w:r>
        <w:rPr>
          <w:rFonts w:hint="default" w:ascii="Times New Roman" w:hAnsi="Times New Roman" w:eastAsia="方正仿宋简体" w:cs="Times New Roman"/>
          <w:b/>
          <w:bCs/>
          <w:color w:val="000000"/>
          <w:kern w:val="2"/>
          <w:sz w:val="31"/>
          <w:szCs w:val="32"/>
          <w:lang w:val="en-US" w:eastAsia="zh-CN" w:bidi="ar"/>
        </w:rPr>
        <w:t>四是实时更新国家权威信息发布。</w:t>
      </w:r>
      <w:r>
        <w:rPr>
          <w:rFonts w:hint="default" w:ascii="Times New Roman" w:hAnsi="Times New Roman" w:eastAsia="方正仿宋简体" w:cs="Times New Roman"/>
          <w:color w:val="000000"/>
          <w:kern w:val="2"/>
          <w:sz w:val="31"/>
          <w:szCs w:val="32"/>
          <w:lang w:val="en-US" w:eastAsia="zh-CN" w:bidi="ar"/>
        </w:rPr>
        <w:t>政府网站和政务新媒体积极转发转载党中央、国务院重大决策部署等权威信息。</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楷体简体" w:cs="Times New Roman"/>
          <w:i w:val="0"/>
          <w:iCs w:val="0"/>
          <w:caps w:val="0"/>
          <w:color w:val="auto"/>
          <w:spacing w:val="0"/>
          <w:sz w:val="31"/>
          <w:szCs w:val="31"/>
          <w:lang w:val="en-US" w:eastAsia="zh-CN"/>
        </w:rPr>
      </w:pPr>
      <w:r>
        <w:rPr>
          <w:rFonts w:hint="default" w:ascii="Times New Roman" w:hAnsi="Times New Roman" w:eastAsia="方正楷体简体" w:cs="Times New Roman"/>
          <w:i w:val="0"/>
          <w:iCs w:val="0"/>
          <w:caps w:val="0"/>
          <w:color w:val="auto"/>
          <w:spacing w:val="0"/>
          <w:sz w:val="31"/>
          <w:szCs w:val="31"/>
          <w:lang w:val="en-US" w:eastAsia="zh-CN"/>
        </w:rPr>
        <w:t>（四）平台建设管理方面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以多元化为目标，积极探索打造立体联动式公开平台。</w:t>
      </w:r>
      <w:r>
        <w:rPr>
          <w:rFonts w:hint="default" w:ascii="Times New Roman" w:hAnsi="Times New Roman" w:eastAsia="方正仿宋简体" w:cs="Times New Roman"/>
          <w:b/>
          <w:bCs/>
          <w:color w:val="000000"/>
          <w:kern w:val="2"/>
          <w:sz w:val="31"/>
          <w:szCs w:val="32"/>
          <w:lang w:val="en-US" w:eastAsia="zh-CN" w:bidi="ar"/>
        </w:rPr>
        <w:t>一是优化网站设置及功能。</w:t>
      </w:r>
      <w:r>
        <w:rPr>
          <w:rFonts w:hint="default" w:ascii="Times New Roman" w:hAnsi="Times New Roman" w:eastAsia="方正仿宋简体" w:cs="Times New Roman"/>
          <w:color w:val="000000"/>
          <w:kern w:val="2"/>
          <w:sz w:val="31"/>
          <w:szCs w:val="32"/>
          <w:lang w:val="en-US" w:eastAsia="zh-CN" w:bidi="ar"/>
        </w:rPr>
        <w:t>完成门户网站适老化和无障碍改造，优化手机端界面，确保手机端与网站内容同质同源，更好地适应公众需求和阅读习惯。</w:t>
      </w:r>
      <w:r>
        <w:rPr>
          <w:rFonts w:hint="default" w:ascii="Times New Roman" w:hAnsi="Times New Roman" w:eastAsia="方正仿宋简体" w:cs="Times New Roman"/>
          <w:b/>
          <w:bCs/>
          <w:color w:val="000000"/>
          <w:kern w:val="2"/>
          <w:sz w:val="31"/>
          <w:szCs w:val="32"/>
          <w:lang w:val="en-US" w:eastAsia="zh-CN" w:bidi="ar"/>
        </w:rPr>
        <w:t>二是强化政务新媒体平台管理。</w:t>
      </w:r>
      <w:r>
        <w:rPr>
          <w:rFonts w:hint="default" w:ascii="Times New Roman" w:hAnsi="Times New Roman" w:eastAsia="方正仿宋简体" w:cs="Times New Roman"/>
          <w:color w:val="000000"/>
          <w:kern w:val="2"/>
          <w:sz w:val="31"/>
          <w:szCs w:val="32"/>
          <w:lang w:val="en-US" w:eastAsia="zh-CN" w:bidi="ar"/>
        </w:rPr>
        <w:t>规范使用国家政务新媒体监管平台，严格落实“三审三校”制度，扎实推进政务新媒体规范化建设工作，全力打造以“罗庄区人民政府”为主的“1+N”政务新媒体矩阵。大力开展政务新媒体清理整顿工作，确保政务新媒体安全平稳有序运营。2023年共注销政务新媒体账号6个，全区运营有效的政务新媒体账号共41个。</w:t>
      </w:r>
      <w:r>
        <w:rPr>
          <w:rFonts w:hint="default" w:ascii="Times New Roman" w:hAnsi="Times New Roman" w:eastAsia="方正仿宋简体" w:cs="Times New Roman"/>
          <w:b/>
          <w:bCs/>
          <w:color w:val="000000"/>
          <w:kern w:val="2"/>
          <w:sz w:val="31"/>
          <w:szCs w:val="32"/>
          <w:lang w:val="en-US" w:eastAsia="zh-CN" w:bidi="ar"/>
        </w:rPr>
        <w:t>三是扎实开展网站运维。</w:t>
      </w:r>
      <w:r>
        <w:rPr>
          <w:rFonts w:hint="default" w:ascii="Times New Roman" w:hAnsi="Times New Roman" w:eastAsia="方正仿宋简体" w:cs="Times New Roman"/>
          <w:color w:val="000000"/>
          <w:kern w:val="2"/>
          <w:sz w:val="31"/>
          <w:szCs w:val="32"/>
          <w:lang w:val="en-US" w:eastAsia="zh-CN" w:bidi="ar"/>
        </w:rPr>
        <w:t>认真做好区政府门户网站的管理和运行维护工作，着重提升门户网站的运行效率，增强网站检索功能、信息下载功能，强化网站后台信息的安全性、稳定性保障，及时修复错链、死链等问题。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楷体简体" w:cs="Times New Roman"/>
          <w:i w:val="0"/>
          <w:iCs w:val="0"/>
          <w:caps w:val="0"/>
          <w:color w:val="auto"/>
          <w:spacing w:val="0"/>
          <w:sz w:val="31"/>
          <w:szCs w:val="31"/>
          <w:lang w:val="en-US" w:eastAsia="zh-CN"/>
        </w:rPr>
      </w:pPr>
      <w:r>
        <w:rPr>
          <w:rFonts w:hint="default" w:ascii="Times New Roman" w:hAnsi="Times New Roman" w:eastAsia="方正楷体简体" w:cs="Times New Roman"/>
          <w:i w:val="0"/>
          <w:iCs w:val="0"/>
          <w:caps w:val="0"/>
          <w:color w:val="auto"/>
          <w:spacing w:val="0"/>
          <w:sz w:val="31"/>
          <w:szCs w:val="31"/>
          <w:lang w:val="en-US" w:eastAsia="zh-CN"/>
        </w:rPr>
        <w:t>（五）做好监督保障工作</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以考核为抓手，推动政务公开工作质效提升。</w:t>
      </w:r>
      <w:r>
        <w:rPr>
          <w:rFonts w:hint="default" w:ascii="Times New Roman" w:hAnsi="Times New Roman" w:eastAsia="方正仿宋简体" w:cs="Times New Roman"/>
          <w:b/>
          <w:bCs/>
          <w:color w:val="000000"/>
          <w:kern w:val="2"/>
          <w:sz w:val="31"/>
          <w:szCs w:val="32"/>
          <w:lang w:val="en-US" w:eastAsia="zh-CN" w:bidi="ar"/>
        </w:rPr>
        <w:t>一是加强监督检查。</w:t>
      </w:r>
      <w:r>
        <w:rPr>
          <w:rFonts w:hint="default" w:ascii="Times New Roman" w:hAnsi="Times New Roman" w:eastAsia="方正仿宋简体" w:cs="Times New Roman"/>
          <w:color w:val="000000"/>
          <w:kern w:val="2"/>
          <w:sz w:val="31"/>
          <w:szCs w:val="32"/>
          <w:lang w:val="en-US" w:eastAsia="zh-CN" w:bidi="ar"/>
        </w:rPr>
        <w:t>制定《2023年度罗庄区政务公开工作考核方案》，对各单位存在问题及时予以通报并作为考核依据，全年共印发情况通报3期。</w:t>
      </w:r>
      <w:r>
        <w:rPr>
          <w:rFonts w:hint="default" w:ascii="Times New Roman" w:hAnsi="Times New Roman" w:eastAsia="方正仿宋简体" w:cs="Times New Roman"/>
          <w:b/>
          <w:bCs/>
          <w:color w:val="000000"/>
          <w:kern w:val="2"/>
          <w:sz w:val="31"/>
          <w:szCs w:val="32"/>
          <w:lang w:val="en-US" w:eastAsia="zh-CN" w:bidi="ar"/>
        </w:rPr>
        <w:t>二是加强培训指导。</w:t>
      </w:r>
      <w:r>
        <w:rPr>
          <w:rFonts w:hint="default" w:ascii="Times New Roman" w:hAnsi="Times New Roman" w:eastAsia="方正仿宋简体" w:cs="Times New Roman"/>
          <w:color w:val="000000"/>
          <w:kern w:val="2"/>
          <w:sz w:val="31"/>
          <w:szCs w:val="32"/>
          <w:lang w:val="en-US" w:eastAsia="zh-CN" w:bidi="ar"/>
        </w:rPr>
        <w:t>通过现场集中办公、轮训等多种形式灵活开展业务指导和实务培训，不断提升公开队伍专业化水平。2023年各街镇、各部门共举办各类培训10余次，参训人员达100人次。</w:t>
      </w:r>
      <w:r>
        <w:rPr>
          <w:rFonts w:hint="default" w:ascii="Times New Roman" w:hAnsi="Times New Roman" w:eastAsia="方正仿宋简体" w:cs="Times New Roman"/>
          <w:b/>
          <w:bCs/>
          <w:color w:val="000000"/>
          <w:kern w:val="2"/>
          <w:sz w:val="31"/>
          <w:szCs w:val="32"/>
          <w:lang w:val="en-US" w:eastAsia="zh-CN" w:bidi="ar"/>
        </w:rPr>
        <w:t>三是开展社会评议。</w:t>
      </w:r>
      <w:r>
        <w:rPr>
          <w:rFonts w:hint="default" w:ascii="Times New Roman" w:hAnsi="Times New Roman" w:eastAsia="方正仿宋简体" w:cs="Times New Roman"/>
          <w:color w:val="000000"/>
          <w:kern w:val="2"/>
          <w:sz w:val="31"/>
          <w:szCs w:val="32"/>
          <w:lang w:val="en-US" w:eastAsia="zh-CN" w:bidi="ar"/>
        </w:rPr>
        <w:t>以区政府门户网站为平台，通过意见征集、问卷调查等形式开展社会评议，广泛听取公民、法人和其他社会组织对政府信息公开工作的批评、意见和建议。2023年未发生政务公开责任追究事件。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黑体简体" w:cs="Times New Roman"/>
          <w:i w:val="0"/>
          <w:iCs w:val="0"/>
          <w:caps w:val="0"/>
          <w:color w:val="000000"/>
          <w:spacing w:val="0"/>
          <w:sz w:val="31"/>
          <w:szCs w:val="31"/>
          <w:lang w:eastAsia="zh-CN"/>
        </w:rPr>
      </w:pPr>
      <w:r>
        <w:rPr>
          <w:rFonts w:hint="default" w:ascii="Times New Roman" w:hAnsi="Times New Roman" w:eastAsia="方正黑体简体" w:cs="Times New Roman"/>
          <w:i w:val="0"/>
          <w:iCs w:val="0"/>
          <w:caps w:val="0"/>
          <w:color w:val="000000"/>
          <w:spacing w:val="0"/>
          <w:sz w:val="31"/>
          <w:szCs w:val="31"/>
          <w:lang w:eastAsia="zh-CN"/>
        </w:rPr>
        <w:t>二、主动公开政府信息情况</w:t>
      </w:r>
    </w:p>
    <w:tbl>
      <w:tblPr>
        <w:tblStyle w:val="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445"/>
        <w:gridCol w:w="2445"/>
        <w:gridCol w:w="244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 w:hRule="exact"/>
          <w:jc w:val="center"/>
        </w:trPr>
        <w:tc>
          <w:tcPr>
            <w:tcW w:w="907" w:type="dxa"/>
            <w:gridSpan w:val="4"/>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4" w:hRule="exact"/>
          <w:jc w:val="center"/>
        </w:trPr>
        <w:tc>
          <w:tcPr>
            <w:tcW w:w="907" w:type="dxa"/>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信息内容</w:t>
            </w:r>
          </w:p>
        </w:tc>
        <w:tc>
          <w:tcPr>
            <w:tcW w:w="907" w:type="dxa"/>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本年</w:t>
            </w:r>
            <w:r>
              <w:rPr>
                <w:rFonts w:hint="default" w:ascii="Times New Roman" w:hAnsi="Times New Roman" w:eastAsia="方正仿宋简体" w:cs="Times New Roman"/>
                <w:sz w:val="24"/>
                <w:szCs w:val="24"/>
                <w:shd w:val="clear" w:color="auto" w:fill="auto"/>
                <w:lang w:eastAsia="zh-CN"/>
              </w:rPr>
              <w:t>制发件</w:t>
            </w:r>
            <w:r>
              <w:rPr>
                <w:rFonts w:hint="default" w:ascii="Times New Roman" w:hAnsi="Times New Roman" w:eastAsia="方正仿宋简体" w:cs="Times New Roman"/>
                <w:sz w:val="24"/>
                <w:szCs w:val="24"/>
                <w:shd w:val="clear" w:color="auto" w:fill="auto"/>
              </w:rPr>
              <w:t>数</w:t>
            </w:r>
          </w:p>
        </w:tc>
        <w:tc>
          <w:tcPr>
            <w:tcW w:w="907" w:type="dxa"/>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本年</w:t>
            </w:r>
            <w:r>
              <w:rPr>
                <w:rFonts w:hint="default" w:ascii="Times New Roman" w:hAnsi="Times New Roman" w:eastAsia="方正仿宋简体" w:cs="Times New Roman"/>
                <w:sz w:val="24"/>
                <w:szCs w:val="24"/>
                <w:shd w:val="clear" w:color="auto" w:fill="auto"/>
                <w:lang w:eastAsia="zh-CN"/>
              </w:rPr>
              <w:t>废止件</w:t>
            </w:r>
            <w:r>
              <w:rPr>
                <w:rFonts w:hint="default" w:ascii="Times New Roman" w:hAnsi="Times New Roman" w:eastAsia="方正仿宋简体" w:cs="Times New Roman"/>
                <w:sz w:val="24"/>
                <w:szCs w:val="24"/>
                <w:shd w:val="clear" w:color="auto" w:fill="auto"/>
              </w:rPr>
              <w:t>数</w:t>
            </w:r>
          </w:p>
        </w:tc>
        <w:tc>
          <w:tcPr>
            <w:tcW w:w="907" w:type="dxa"/>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lang w:eastAsia="zh-CN"/>
              </w:rPr>
            </w:pPr>
            <w:r>
              <w:rPr>
                <w:rFonts w:hint="default" w:ascii="Times New Roman" w:hAnsi="Times New Roman" w:eastAsia="方正仿宋简体" w:cs="Times New Roman"/>
                <w:sz w:val="24"/>
                <w:szCs w:val="24"/>
                <w:shd w:val="clear" w:color="auto" w:fill="auto"/>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jc w:val="center"/>
        </w:trPr>
        <w:tc>
          <w:tcPr>
            <w:tcW w:w="907" w:type="dxa"/>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规章</w:t>
            </w:r>
          </w:p>
        </w:tc>
        <w:tc>
          <w:tcPr>
            <w:tcW w:w="90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简体" w:cs="Times New Roman"/>
                <w:sz w:val="24"/>
                <w:szCs w:val="24"/>
                <w:shd w:val="clear" w:color="auto" w:fill="auto"/>
                <w:lang w:val="en-US" w:eastAsia="zh-CN"/>
              </w:rPr>
            </w:pPr>
            <w:r>
              <w:rPr>
                <w:rFonts w:hint="default" w:ascii="Times New Roman" w:hAnsi="Times New Roman" w:eastAsia="方正仿宋简体" w:cs="Times New Roman"/>
                <w:sz w:val="24"/>
                <w:szCs w:val="24"/>
                <w:shd w:val="clear" w:color="auto" w:fill="auto"/>
                <w:lang w:val="en-US" w:eastAsia="zh-CN"/>
              </w:rPr>
              <w:t>0</w:t>
            </w:r>
          </w:p>
        </w:tc>
        <w:tc>
          <w:tcPr>
            <w:tcW w:w="90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简体" w:cs="Times New Roman"/>
                <w:sz w:val="24"/>
                <w:szCs w:val="24"/>
                <w:shd w:val="clear" w:color="auto" w:fill="auto"/>
                <w:lang w:val="en-US" w:eastAsia="zh-CN"/>
              </w:rPr>
            </w:pPr>
            <w:r>
              <w:rPr>
                <w:rFonts w:hint="default" w:ascii="Times New Roman" w:hAnsi="Times New Roman" w:eastAsia="方正仿宋简体" w:cs="Times New Roman"/>
                <w:sz w:val="24"/>
                <w:szCs w:val="24"/>
                <w:shd w:val="clear" w:color="auto" w:fill="auto"/>
                <w:lang w:val="en-US" w:eastAsia="zh-CN"/>
              </w:rPr>
              <w:t>0</w:t>
            </w:r>
          </w:p>
        </w:tc>
        <w:tc>
          <w:tcPr>
            <w:tcW w:w="90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简体" w:cs="Times New Roman"/>
                <w:sz w:val="24"/>
                <w:szCs w:val="24"/>
                <w:shd w:val="clear" w:color="auto" w:fill="auto"/>
                <w:lang w:val="en-US" w:eastAsia="zh-CN"/>
              </w:rPr>
            </w:pPr>
            <w:r>
              <w:rPr>
                <w:rFonts w:hint="default" w:ascii="Times New Roman" w:hAnsi="Times New Roman" w:eastAsia="方正仿宋简体" w:cs="Times New Roman"/>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907" w:type="dxa"/>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规范性文件</w:t>
            </w:r>
          </w:p>
        </w:tc>
        <w:tc>
          <w:tcPr>
            <w:tcW w:w="907"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kern w:val="2"/>
                <w:sz w:val="28"/>
                <w:szCs w:val="28"/>
                <w:shd w:val="clear" w:color="auto" w:fill="auto"/>
                <w:lang w:val="en-US" w:eastAsia="zh-CN" w:bidi="ar-SA"/>
              </w:rPr>
            </w:pPr>
            <w:r>
              <w:rPr>
                <w:rFonts w:hint="default" w:ascii="Times New Roman" w:hAnsi="Times New Roman" w:eastAsia="方正仿宋简体" w:cs="Times New Roman"/>
                <w:sz w:val="28"/>
                <w:szCs w:val="28"/>
                <w:shd w:val="clear" w:color="auto" w:fill="auto"/>
                <w:lang w:val="en-US" w:eastAsia="zh-CN"/>
              </w:rPr>
              <w:t>10</w:t>
            </w:r>
          </w:p>
        </w:tc>
        <w:tc>
          <w:tcPr>
            <w:tcW w:w="907"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kern w:val="2"/>
                <w:sz w:val="28"/>
                <w:szCs w:val="28"/>
                <w:shd w:val="clear" w:color="auto" w:fill="auto"/>
                <w:lang w:val="en-US" w:eastAsia="zh-CN" w:bidi="ar-SA"/>
              </w:rPr>
            </w:pPr>
            <w:r>
              <w:rPr>
                <w:rFonts w:hint="default" w:ascii="Times New Roman" w:hAnsi="Times New Roman" w:eastAsia="方正仿宋简体" w:cs="Times New Roman"/>
                <w:sz w:val="28"/>
                <w:szCs w:val="28"/>
                <w:shd w:val="clear" w:color="auto" w:fill="auto"/>
                <w:lang w:val="en-US" w:eastAsia="zh-CN"/>
              </w:rPr>
              <w:t>5</w:t>
            </w:r>
          </w:p>
        </w:tc>
        <w:tc>
          <w:tcPr>
            <w:tcW w:w="907"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kern w:val="2"/>
                <w:sz w:val="28"/>
                <w:szCs w:val="28"/>
                <w:shd w:val="clear" w:color="auto" w:fill="auto"/>
                <w:lang w:val="en-US" w:eastAsia="zh-CN" w:bidi="ar-SA"/>
              </w:rPr>
            </w:pPr>
            <w:r>
              <w:rPr>
                <w:rFonts w:hint="default" w:ascii="Times New Roman" w:hAnsi="Times New Roman" w:eastAsia="方正仿宋简体" w:cs="Times New Roman"/>
                <w:sz w:val="28"/>
                <w:szCs w:val="28"/>
                <w:shd w:val="clear" w:color="auto" w:fil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9" w:hRule="exact"/>
          <w:jc w:val="center"/>
        </w:trPr>
        <w:tc>
          <w:tcPr>
            <w:tcW w:w="907" w:type="dxa"/>
            <w:gridSpan w:val="4"/>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 w:hRule="exact"/>
          <w:jc w:val="center"/>
        </w:trPr>
        <w:tc>
          <w:tcPr>
            <w:tcW w:w="907" w:type="dxa"/>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信息内容</w:t>
            </w:r>
          </w:p>
        </w:tc>
        <w:tc>
          <w:tcPr>
            <w:tcW w:w="907" w:type="dxa"/>
            <w:gridSpan w:val="3"/>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lang w:eastAsia="zh-CN"/>
              </w:rPr>
              <w:t>本年</w:t>
            </w:r>
            <w:r>
              <w:rPr>
                <w:rFonts w:hint="default" w:ascii="Times New Roman" w:hAnsi="Times New Roman" w:eastAsia="方正仿宋简体" w:cs="Times New Roman"/>
                <w:sz w:val="24"/>
                <w:szCs w:val="24"/>
                <w:shd w:val="clear" w:color="auto" w:fill="auto"/>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907" w:type="dxa"/>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p>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行政许可</w:t>
            </w:r>
          </w:p>
        </w:tc>
        <w:tc>
          <w:tcPr>
            <w:tcW w:w="907"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简体" w:cs="Times New Roman"/>
                <w:sz w:val="24"/>
                <w:szCs w:val="24"/>
                <w:shd w:val="clear" w:color="auto" w:fill="auto"/>
                <w:lang w:val="en-US" w:eastAsia="zh-CN"/>
              </w:rPr>
            </w:pPr>
            <w:r>
              <w:rPr>
                <w:rFonts w:hint="default" w:ascii="Times New Roman" w:hAnsi="Times New Roman" w:cs="Times New Roman"/>
                <w:i w:val="0"/>
                <w:color w:val="auto"/>
                <w:kern w:val="0"/>
                <w:sz w:val="24"/>
                <w:szCs w:val="24"/>
                <w:u w:val="none"/>
                <w:shd w:val="clear" w:color="auto" w:fill="auto"/>
                <w:lang w:val="en-US" w:eastAsia="zh-CN" w:bidi="ar"/>
              </w:rPr>
              <w:t>33710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907" w:type="dxa"/>
            <w:gridSpan w:val="4"/>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9" w:hRule="exact"/>
          <w:jc w:val="center"/>
        </w:trPr>
        <w:tc>
          <w:tcPr>
            <w:tcW w:w="907" w:type="dxa"/>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信息内容</w:t>
            </w:r>
          </w:p>
        </w:tc>
        <w:tc>
          <w:tcPr>
            <w:tcW w:w="907" w:type="dxa"/>
            <w:gridSpan w:val="3"/>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lang w:eastAsia="zh-CN"/>
              </w:rPr>
              <w:t>本年</w:t>
            </w:r>
            <w:r>
              <w:rPr>
                <w:rFonts w:hint="default" w:ascii="Times New Roman" w:hAnsi="Times New Roman" w:eastAsia="方正仿宋简体" w:cs="Times New Roman"/>
                <w:sz w:val="24"/>
                <w:szCs w:val="24"/>
                <w:shd w:val="clear" w:color="auto" w:fill="auto"/>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9" w:hRule="exact"/>
          <w:jc w:val="center"/>
        </w:trPr>
        <w:tc>
          <w:tcPr>
            <w:tcW w:w="907" w:type="dxa"/>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行政处罚</w:t>
            </w:r>
          </w:p>
        </w:tc>
        <w:tc>
          <w:tcPr>
            <w:tcW w:w="907"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auto"/>
                <w:kern w:val="2"/>
                <w:sz w:val="28"/>
                <w:szCs w:val="28"/>
                <w:shd w:val="clear" w:color="auto" w:fill="auto"/>
                <w:lang w:val="en-US" w:eastAsia="zh-CN" w:bidi="ar-SA"/>
              </w:rPr>
            </w:pPr>
            <w:r>
              <w:rPr>
                <w:rFonts w:hint="default" w:ascii="Times New Roman" w:hAnsi="Times New Roman" w:cs="Times New Roman"/>
                <w:i w:val="0"/>
                <w:color w:val="auto"/>
                <w:kern w:val="0"/>
                <w:sz w:val="24"/>
                <w:szCs w:val="24"/>
                <w:u w:val="none"/>
                <w:shd w:val="clear" w:color="auto" w:fill="auto"/>
                <w:lang w:val="en-US" w:eastAsia="zh-CN" w:bidi="ar"/>
              </w:rPr>
              <w:t>2146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9" w:hRule="exact"/>
          <w:jc w:val="center"/>
        </w:trPr>
        <w:tc>
          <w:tcPr>
            <w:tcW w:w="907" w:type="dxa"/>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行政强制</w:t>
            </w:r>
          </w:p>
        </w:tc>
        <w:tc>
          <w:tcPr>
            <w:tcW w:w="907"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auto"/>
                <w:kern w:val="2"/>
                <w:sz w:val="28"/>
                <w:szCs w:val="28"/>
                <w:shd w:val="clear" w:color="auto" w:fill="auto"/>
                <w:lang w:val="en-US" w:eastAsia="zh-CN" w:bidi="ar-SA"/>
              </w:rPr>
            </w:pPr>
            <w:r>
              <w:rPr>
                <w:rFonts w:hint="default" w:ascii="Times New Roman" w:hAnsi="Times New Roman" w:cs="Times New Roman"/>
                <w:i w:val="0"/>
                <w:color w:val="auto"/>
                <w:kern w:val="0"/>
                <w:sz w:val="24"/>
                <w:szCs w:val="24"/>
                <w:u w:val="none"/>
                <w:shd w:val="clear" w:color="auto" w:fill="auto"/>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907" w:type="dxa"/>
            <w:gridSpan w:val="4"/>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 w:hRule="exact"/>
          <w:jc w:val="center"/>
        </w:trPr>
        <w:tc>
          <w:tcPr>
            <w:tcW w:w="907" w:type="dxa"/>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信息内容</w:t>
            </w:r>
          </w:p>
        </w:tc>
        <w:tc>
          <w:tcPr>
            <w:tcW w:w="907" w:type="dxa"/>
            <w:gridSpan w:val="3"/>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9" w:hRule="exact"/>
          <w:jc w:val="center"/>
        </w:trPr>
        <w:tc>
          <w:tcPr>
            <w:tcW w:w="907" w:type="dxa"/>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方正仿宋简体" w:cs="Times New Roman"/>
                <w:sz w:val="24"/>
                <w:szCs w:val="24"/>
                <w:shd w:val="clear" w:color="auto" w:fill="auto"/>
              </w:rPr>
            </w:pPr>
            <w:r>
              <w:rPr>
                <w:rFonts w:hint="default" w:ascii="Times New Roman" w:hAnsi="Times New Roman" w:eastAsia="方正仿宋简体" w:cs="Times New Roman"/>
                <w:sz w:val="24"/>
                <w:szCs w:val="24"/>
                <w:shd w:val="clear" w:color="auto" w:fill="auto"/>
              </w:rPr>
              <w:t>行政事业性收费</w:t>
            </w:r>
          </w:p>
        </w:tc>
        <w:tc>
          <w:tcPr>
            <w:tcW w:w="907"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i w:val="0"/>
                <w:color w:val="auto"/>
                <w:kern w:val="0"/>
                <w:sz w:val="24"/>
                <w:szCs w:val="24"/>
                <w:u w:val="none"/>
                <w:shd w:val="clear" w:color="auto" w:fill="auto"/>
                <w:lang w:val="en-US" w:eastAsia="zh-CN" w:bidi="ar"/>
              </w:rPr>
            </w:pPr>
            <w:r>
              <w:rPr>
                <w:rFonts w:hint="default" w:ascii="Times New Roman" w:hAnsi="Times New Roman" w:cs="Times New Roman"/>
                <w:i w:val="0"/>
                <w:color w:val="auto"/>
                <w:kern w:val="0"/>
                <w:sz w:val="24"/>
                <w:szCs w:val="24"/>
                <w:u w:val="none"/>
                <w:shd w:val="clear" w:color="auto" w:fill="auto"/>
                <w:lang w:val="en-US" w:eastAsia="zh-CN" w:bidi="ar"/>
              </w:rPr>
              <w:t>1633.444944</w:t>
            </w:r>
          </w:p>
        </w:tc>
      </w:tr>
    </w:tbl>
    <w:p>
      <w:pPr>
        <w:pStyle w:val="7"/>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right="0" w:firstLine="620" w:firstLineChars="200"/>
        <w:jc w:val="both"/>
        <w:textAlignment w:val="auto"/>
        <w:rPr>
          <w:rFonts w:hint="default" w:ascii="Times New Roman" w:hAnsi="Times New Roman" w:cs="Times New Roman"/>
        </w:rPr>
      </w:pPr>
      <w:r>
        <w:rPr>
          <w:rFonts w:hint="default" w:ascii="Times New Roman" w:hAnsi="Times New Roman" w:eastAsia="方正黑体简体" w:cs="Times New Roman"/>
          <w:i w:val="0"/>
          <w:iCs w:val="0"/>
          <w:caps w:val="0"/>
          <w:color w:val="000000"/>
          <w:spacing w:val="0"/>
          <w:sz w:val="31"/>
          <w:szCs w:val="31"/>
          <w:lang w:eastAsia="zh-CN"/>
        </w:rPr>
        <w:t>三、收到和处理政府信息公开申请情况</w:t>
      </w:r>
    </w:p>
    <w:tbl>
      <w:tblPr>
        <w:tblStyle w:val="8"/>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46"/>
        <w:gridCol w:w="1617"/>
        <w:gridCol w:w="6"/>
        <w:gridCol w:w="3224"/>
        <w:gridCol w:w="402"/>
        <w:gridCol w:w="710"/>
        <w:gridCol w:w="710"/>
        <w:gridCol w:w="710"/>
        <w:gridCol w:w="710"/>
        <w:gridCol w:w="537"/>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3" w:hRule="exact"/>
          <w:jc w:val="center"/>
        </w:trPr>
        <w:tc>
          <w:tcPr>
            <w:tcW w:w="5393" w:type="dxa"/>
            <w:gridSpan w:val="4"/>
            <w:vMerge w:val="restart"/>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（本列数据的勾稽关系为：第一项加第二项之和，等于第三项加第四项之和）</w:t>
            </w:r>
          </w:p>
        </w:tc>
        <w:tc>
          <w:tcPr>
            <w:tcW w:w="4266" w:type="dxa"/>
            <w:gridSpan w:val="7"/>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6" w:hRule="exact"/>
          <w:jc w:val="center"/>
        </w:trPr>
        <w:tc>
          <w:tcPr>
            <w:tcW w:w="5393" w:type="dxa"/>
            <w:gridSpan w:val="4"/>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402" w:type="dxa"/>
            <w:vMerge w:val="restart"/>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rPr>
              <w:t>自</w:t>
            </w:r>
          </w:p>
          <w:p>
            <w:pPr>
              <w:pStyle w:val="14"/>
              <w:spacing w:line="240" w:lineRule="exact"/>
              <w:ind w:firstLine="0"/>
              <w:jc w:val="center"/>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rPr>
              <w:t>然</w:t>
            </w:r>
          </w:p>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人</w:t>
            </w:r>
          </w:p>
        </w:tc>
        <w:tc>
          <w:tcPr>
            <w:tcW w:w="3377" w:type="dxa"/>
            <w:gridSpan w:val="5"/>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法人或其他组织</w:t>
            </w:r>
          </w:p>
        </w:tc>
        <w:tc>
          <w:tcPr>
            <w:tcW w:w="487" w:type="dxa"/>
            <w:vMerge w:val="restart"/>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3" w:hRule="exact"/>
          <w:jc w:val="center"/>
        </w:trPr>
        <w:tc>
          <w:tcPr>
            <w:tcW w:w="5393" w:type="dxa"/>
            <w:gridSpan w:val="4"/>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402"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710" w:type="dxa"/>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商业 企业</w:t>
            </w:r>
          </w:p>
        </w:tc>
        <w:tc>
          <w:tcPr>
            <w:tcW w:w="710" w:type="dxa"/>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科研 机构</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r>
              <w:rPr>
                <w:rFonts w:hint="default" w:ascii="Times New Roman" w:hAnsi="Times New Roman" w:eastAsia="方正仿宋简体" w:cs="Times New Roman"/>
                <w:color w:val="auto"/>
                <w:sz w:val="24"/>
              </w:rPr>
              <w:t>社会公益组织</w:t>
            </w:r>
          </w:p>
        </w:tc>
        <w:tc>
          <w:tcPr>
            <w:tcW w:w="710" w:type="dxa"/>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法律 服务 机构</w:t>
            </w:r>
          </w:p>
        </w:tc>
        <w:tc>
          <w:tcPr>
            <w:tcW w:w="537" w:type="dxa"/>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其他</w:t>
            </w:r>
          </w:p>
        </w:tc>
        <w:tc>
          <w:tcPr>
            <w:tcW w:w="48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393" w:type="dxa"/>
            <w:gridSpan w:val="4"/>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一、本年新收政府信息公开申请数量</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sz w:val="20"/>
                <w:szCs w:val="20"/>
                <w:lang w:val="en-US" w:eastAsia="zh-CN"/>
              </w:rPr>
              <w:t>153</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sz w:val="20"/>
                <w:szCs w:val="20"/>
                <w:lang w:val="en-US" w:eastAsia="zh-CN"/>
              </w:rPr>
              <w:t>1</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color w:val="auto"/>
                <w:sz w:val="24"/>
                <w:lang w:val="en-US" w:eastAsia="zh-CN"/>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color w:val="auto"/>
                <w:sz w:val="24"/>
                <w:lang w:val="en-US" w:eastAsia="zh-CN"/>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sz w:val="20"/>
                <w:szCs w:val="20"/>
                <w:lang w:val="en-US" w:eastAsia="zh-CN"/>
              </w:rPr>
              <w:t>2</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sz w:val="20"/>
                <w:szCs w:val="20"/>
                <w:lang w:val="en-US" w:eastAsia="zh-CN"/>
              </w:rPr>
              <w:t>1</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sz w:val="20"/>
                <w:szCs w:val="20"/>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393" w:type="dxa"/>
            <w:gridSpan w:val="4"/>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二、上年结转政府信息公开申请数量</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46" w:type="dxa"/>
            <w:vMerge w:val="restart"/>
            <w:shd w:val="clear" w:color="auto" w:fill="FFFFFF"/>
            <w:noWrap w:val="0"/>
            <w:textDirection w:val="tbRlV"/>
            <w:vAlign w:val="center"/>
          </w:tcPr>
          <w:p>
            <w:pPr>
              <w:pStyle w:val="15"/>
              <w:spacing w:before="0" w:line="240" w:lineRule="exact"/>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三、本年度办理结果</w:t>
            </w:r>
          </w:p>
        </w:tc>
        <w:tc>
          <w:tcPr>
            <w:tcW w:w="4847" w:type="dxa"/>
            <w:gridSpan w:val="3"/>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（一）予以公开</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0"/>
                <w:szCs w:val="20"/>
                <w:lang w:val="en-US" w:eastAsia="zh-CN"/>
              </w:rPr>
              <w:t>103</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0"/>
                <w:szCs w:val="20"/>
                <w:lang w:val="en-US" w:eastAsia="zh-CN"/>
              </w:rPr>
              <w:t>2</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0"/>
                <w:szCs w:val="20"/>
                <w:lang w:val="en-US" w:eastAsia="zh-CN"/>
              </w:rPr>
              <w:t>1</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0"/>
                <w:szCs w:val="20"/>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9"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4847" w:type="dxa"/>
            <w:gridSpan w:val="3"/>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（二）部分公开（区分处理的，只计这一情形，不计其他情形）</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0"/>
                <w:szCs w:val="20"/>
                <w:lang w:val="en-US" w:eastAsia="zh-CN"/>
              </w:rPr>
              <w:t>7</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0"/>
                <w:szCs w:val="20"/>
                <w:lang w:val="en-US" w:eastAsia="zh-CN"/>
              </w:rPr>
              <w:t>1</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restart"/>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rPr>
              <w:t>（三）不予</w:t>
            </w:r>
          </w:p>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公开</w:t>
            </w:r>
          </w:p>
        </w:tc>
        <w:tc>
          <w:tcPr>
            <w:tcW w:w="3230" w:type="dxa"/>
            <w:gridSpan w:val="2"/>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1.</w:t>
            </w:r>
            <w:r>
              <w:rPr>
                <w:rFonts w:hint="default" w:ascii="Times New Roman" w:hAnsi="Times New Roman" w:eastAsia="方正仿宋简体" w:cs="Times New Roman"/>
                <w:color w:val="auto"/>
                <w:sz w:val="24"/>
                <w:szCs w:val="24"/>
              </w:rPr>
              <w:t>属于国家秘密</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3230" w:type="dxa"/>
            <w:gridSpan w:val="2"/>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2.</w:t>
            </w:r>
            <w:r>
              <w:rPr>
                <w:rFonts w:hint="default" w:ascii="Times New Roman" w:hAnsi="Times New Roman" w:eastAsia="方正仿宋简体" w:cs="Times New Roman"/>
                <w:color w:val="auto"/>
                <w:sz w:val="24"/>
                <w:szCs w:val="24"/>
                <w:lang w:eastAsia="zh-CN"/>
              </w:rPr>
              <w:t>其他法律行政法规</w:t>
            </w:r>
            <w:r>
              <w:rPr>
                <w:rFonts w:hint="default" w:ascii="Times New Roman" w:hAnsi="Times New Roman" w:eastAsia="方正仿宋简体" w:cs="Times New Roman"/>
                <w:color w:val="auto"/>
                <w:sz w:val="24"/>
                <w:szCs w:val="24"/>
              </w:rPr>
              <w:t>禁止公开</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kern w:val="2"/>
                <w:sz w:val="20"/>
                <w:szCs w:val="20"/>
                <w:lang w:val="en-US" w:eastAsia="zh-CN" w:bidi="ar-SA"/>
              </w:rPr>
              <w:t>3</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kern w:val="2"/>
                <w:sz w:val="20"/>
                <w:szCs w:val="20"/>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3230" w:type="dxa"/>
            <w:gridSpan w:val="2"/>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3.</w:t>
            </w:r>
            <w:r>
              <w:rPr>
                <w:rFonts w:hint="default" w:ascii="Times New Roman" w:hAnsi="Times New Roman" w:eastAsia="方正仿宋简体" w:cs="Times New Roman"/>
                <w:color w:val="auto"/>
                <w:sz w:val="24"/>
                <w:szCs w:val="24"/>
              </w:rPr>
              <w:t>危及</w:t>
            </w:r>
            <w:r>
              <w:rPr>
                <w:rFonts w:hint="default" w:ascii="Times New Roman" w:hAnsi="Times New Roman" w:eastAsia="方正仿宋简体" w:cs="Times New Roman"/>
                <w:color w:val="auto"/>
                <w:sz w:val="24"/>
                <w:szCs w:val="24"/>
                <w:lang w:val="zh-CN" w:eastAsia="zh-CN"/>
              </w:rPr>
              <w:t>“三</w:t>
            </w:r>
            <w:r>
              <w:rPr>
                <w:rFonts w:hint="default" w:ascii="Times New Roman" w:hAnsi="Times New Roman" w:eastAsia="方正仿宋简体" w:cs="Times New Roman"/>
                <w:color w:val="auto"/>
                <w:sz w:val="24"/>
                <w:szCs w:val="24"/>
              </w:rPr>
              <w:t>安全一稳定”</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3230" w:type="dxa"/>
            <w:gridSpan w:val="2"/>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4.</w:t>
            </w:r>
            <w:r>
              <w:rPr>
                <w:rFonts w:hint="default" w:ascii="Times New Roman" w:hAnsi="Times New Roman" w:eastAsia="方正仿宋简体" w:cs="Times New Roman"/>
                <w:color w:val="auto"/>
                <w:sz w:val="24"/>
                <w:szCs w:val="24"/>
              </w:rPr>
              <w:t>保护第三方合法权益</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3230" w:type="dxa"/>
            <w:gridSpan w:val="2"/>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5.</w:t>
            </w:r>
            <w:r>
              <w:rPr>
                <w:rFonts w:hint="default" w:ascii="Times New Roman" w:hAnsi="Times New Roman" w:eastAsia="方正仿宋简体" w:cs="Times New Roman"/>
                <w:color w:val="auto"/>
                <w:sz w:val="24"/>
                <w:szCs w:val="24"/>
              </w:rPr>
              <w:t>属于三类内部事务信息</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3230" w:type="dxa"/>
            <w:gridSpan w:val="2"/>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6.</w:t>
            </w:r>
            <w:r>
              <w:rPr>
                <w:rFonts w:hint="default" w:ascii="Times New Roman" w:hAnsi="Times New Roman" w:eastAsia="方正仿宋简体" w:cs="Times New Roman"/>
                <w:color w:val="auto"/>
                <w:sz w:val="24"/>
                <w:szCs w:val="24"/>
              </w:rPr>
              <w:t>属于四类过程性信息</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3230" w:type="dxa"/>
            <w:gridSpan w:val="2"/>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7.</w:t>
            </w:r>
            <w:r>
              <w:rPr>
                <w:rFonts w:hint="default" w:ascii="Times New Roman" w:hAnsi="Times New Roman" w:eastAsia="方正仿宋简体" w:cs="Times New Roman"/>
                <w:color w:val="auto"/>
                <w:sz w:val="24"/>
                <w:szCs w:val="24"/>
              </w:rPr>
              <w:t>属于行政执法案卷</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3230" w:type="dxa"/>
            <w:gridSpan w:val="2"/>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8.</w:t>
            </w:r>
            <w:r>
              <w:rPr>
                <w:rFonts w:hint="default" w:ascii="Times New Roman" w:hAnsi="Times New Roman" w:eastAsia="方正仿宋简体" w:cs="Times New Roman"/>
                <w:color w:val="auto"/>
                <w:sz w:val="24"/>
                <w:szCs w:val="24"/>
              </w:rPr>
              <w:t>属于行政查询事项</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restart"/>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（四）无法</w:t>
            </w:r>
          </w:p>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sz w:val="24"/>
                <w:szCs w:val="24"/>
              </w:rPr>
              <w:t>提供</w:t>
            </w:r>
          </w:p>
          <w:p>
            <w:pPr>
              <w:pStyle w:val="14"/>
              <w:spacing w:line="240" w:lineRule="exact"/>
              <w:ind w:firstLine="0"/>
              <w:jc w:val="center"/>
              <w:rPr>
                <w:rFonts w:hint="default" w:ascii="Times New Roman" w:hAnsi="Times New Roman" w:eastAsia="方正仿宋简体" w:cs="Times New Roman"/>
                <w:color w:val="auto"/>
                <w:sz w:val="24"/>
                <w:szCs w:val="24"/>
              </w:rPr>
            </w:pPr>
          </w:p>
          <w:p>
            <w:pPr>
              <w:pStyle w:val="14"/>
              <w:spacing w:line="240" w:lineRule="exact"/>
              <w:ind w:firstLine="0"/>
              <w:jc w:val="center"/>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rPr>
              <w:t>（四）无法</w:t>
            </w:r>
          </w:p>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提供</w:t>
            </w:r>
          </w:p>
        </w:tc>
        <w:tc>
          <w:tcPr>
            <w:tcW w:w="3230" w:type="dxa"/>
            <w:gridSpan w:val="2"/>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1.</w:t>
            </w:r>
            <w:r>
              <w:rPr>
                <w:rFonts w:hint="default" w:ascii="Times New Roman" w:hAnsi="Times New Roman" w:eastAsia="方正仿宋简体" w:cs="Times New Roman"/>
                <w:color w:val="auto"/>
                <w:sz w:val="24"/>
                <w:szCs w:val="24"/>
              </w:rPr>
              <w:t>本机关不掌握相关政府信息</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0"/>
                <w:szCs w:val="20"/>
                <w:lang w:val="en-US" w:eastAsia="zh-CN"/>
              </w:rPr>
              <w:t>34</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0"/>
                <w:szCs w:val="20"/>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3230" w:type="dxa"/>
            <w:gridSpan w:val="2"/>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2.</w:t>
            </w:r>
            <w:r>
              <w:rPr>
                <w:rFonts w:hint="default" w:ascii="Times New Roman" w:hAnsi="Times New Roman" w:eastAsia="方正仿宋简体" w:cs="Times New Roman"/>
                <w:color w:val="auto"/>
                <w:sz w:val="24"/>
                <w:szCs w:val="24"/>
              </w:rPr>
              <w:t>没有现成信息需要另行制作</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3230" w:type="dxa"/>
            <w:gridSpan w:val="2"/>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160" w:lineRule="exact"/>
              <w:ind w:firstLine="0"/>
              <w:jc w:val="center"/>
              <w:textAlignment w:val="auto"/>
              <w:rPr>
                <w:rFonts w:hint="default" w:ascii="Times New Roman" w:hAnsi="Times New Roman" w:eastAsia="方正仿宋简体" w:cs="Times New Roman"/>
                <w:color w:val="auto"/>
                <w:sz w:val="24"/>
                <w:szCs w:val="24"/>
                <w:lang w:val="en-US" w:eastAsia="en-US"/>
              </w:rPr>
            </w:pPr>
          </w:p>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3.</w:t>
            </w:r>
            <w:r>
              <w:rPr>
                <w:rFonts w:hint="default" w:ascii="Times New Roman" w:hAnsi="Times New Roman" w:eastAsia="方正仿宋简体" w:cs="Times New Roman"/>
                <w:color w:val="auto"/>
                <w:sz w:val="24"/>
                <w:szCs w:val="24"/>
              </w:rPr>
              <w:t>补正后申请内容仍不明确</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restart"/>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p>
          <w:p>
            <w:pPr>
              <w:pStyle w:val="14"/>
              <w:spacing w:line="240" w:lineRule="exact"/>
              <w:ind w:firstLine="0"/>
              <w:jc w:val="center"/>
              <w:rPr>
                <w:rFonts w:hint="default" w:ascii="Times New Roman" w:hAnsi="Times New Roman" w:eastAsia="方正仿宋简体" w:cs="Times New Roman"/>
                <w:color w:val="auto"/>
                <w:sz w:val="24"/>
                <w:szCs w:val="24"/>
              </w:rPr>
            </w:pPr>
          </w:p>
          <w:p>
            <w:pPr>
              <w:pStyle w:val="14"/>
              <w:spacing w:line="240" w:lineRule="exact"/>
              <w:ind w:firstLine="0"/>
              <w:jc w:val="center"/>
              <w:rPr>
                <w:rFonts w:hint="default" w:ascii="Times New Roman" w:hAnsi="Times New Roman" w:eastAsia="方正仿宋简体" w:cs="Times New Roman"/>
                <w:color w:val="auto"/>
                <w:sz w:val="24"/>
                <w:szCs w:val="24"/>
              </w:rPr>
            </w:pPr>
          </w:p>
          <w:p>
            <w:pPr>
              <w:pStyle w:val="14"/>
              <w:spacing w:line="240" w:lineRule="exact"/>
              <w:ind w:firstLine="0"/>
              <w:jc w:val="center"/>
              <w:rPr>
                <w:rFonts w:hint="default" w:ascii="Times New Roman" w:hAnsi="Times New Roman" w:eastAsia="方正仿宋简体" w:cs="Times New Roman"/>
                <w:color w:val="auto"/>
                <w:sz w:val="24"/>
                <w:szCs w:val="24"/>
              </w:rPr>
            </w:pPr>
          </w:p>
          <w:p>
            <w:pPr>
              <w:pStyle w:val="14"/>
              <w:spacing w:line="240" w:lineRule="exact"/>
              <w:ind w:firstLine="0"/>
              <w:jc w:val="center"/>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rPr>
              <w:t>（五）不予</w:t>
            </w:r>
          </w:p>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处理</w:t>
            </w:r>
          </w:p>
        </w:tc>
        <w:tc>
          <w:tcPr>
            <w:tcW w:w="3230" w:type="dxa"/>
            <w:gridSpan w:val="2"/>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1.</w:t>
            </w:r>
            <w:r>
              <w:rPr>
                <w:rFonts w:hint="default" w:ascii="Times New Roman" w:hAnsi="Times New Roman" w:eastAsia="方正仿宋简体" w:cs="Times New Roman"/>
                <w:color w:val="auto"/>
                <w:sz w:val="24"/>
                <w:szCs w:val="24"/>
              </w:rPr>
              <w:t>信访举报投诉类申请</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3230" w:type="dxa"/>
            <w:gridSpan w:val="2"/>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2.</w:t>
            </w:r>
            <w:r>
              <w:rPr>
                <w:rFonts w:hint="default" w:ascii="Times New Roman" w:hAnsi="Times New Roman" w:eastAsia="方正仿宋简体" w:cs="Times New Roman"/>
                <w:color w:val="auto"/>
                <w:sz w:val="24"/>
                <w:szCs w:val="24"/>
              </w:rPr>
              <w:t>重复申请</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kern w:val="2"/>
                <w:sz w:val="20"/>
                <w:szCs w:val="20"/>
                <w:lang w:val="en-US" w:eastAsia="zh-CN" w:bidi="ar-SA"/>
              </w:rPr>
              <w:t>1</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kern w:val="2"/>
                <w:sz w:val="20"/>
                <w:szCs w:val="2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3230" w:type="dxa"/>
            <w:gridSpan w:val="2"/>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3.</w:t>
            </w:r>
            <w:r>
              <w:rPr>
                <w:rFonts w:hint="default" w:ascii="Times New Roman" w:hAnsi="Times New Roman" w:eastAsia="方正仿宋简体" w:cs="Times New Roman"/>
                <w:color w:val="auto"/>
                <w:sz w:val="24"/>
                <w:szCs w:val="24"/>
              </w:rPr>
              <w:t>要求提供公开出版物</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3230" w:type="dxa"/>
            <w:gridSpan w:val="2"/>
            <w:shd w:val="clear" w:color="auto" w:fill="FFFFFF"/>
            <w:noWrap w:val="0"/>
            <w:vAlign w:val="center"/>
          </w:tcPr>
          <w:p>
            <w:pPr>
              <w:pStyle w:val="14"/>
              <w:spacing w:line="240" w:lineRule="exact"/>
              <w:ind w:left="400" w:hanging="40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4.</w:t>
            </w:r>
            <w:r>
              <w:rPr>
                <w:rFonts w:hint="default" w:ascii="Times New Roman" w:hAnsi="Times New Roman" w:eastAsia="方正仿宋简体" w:cs="Times New Roman"/>
                <w:color w:val="auto"/>
                <w:sz w:val="24"/>
                <w:szCs w:val="24"/>
              </w:rPr>
              <w:t>无正当理由大量反复申请</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9"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17" w:type="dxa"/>
            <w:vMerge w:val="continue"/>
            <w:shd w:val="clear" w:color="auto" w:fill="FFFFFF"/>
            <w:noWrap w:val="0"/>
            <w:vAlign w:val="center"/>
          </w:tcPr>
          <w:p>
            <w:pPr>
              <w:spacing w:line="240" w:lineRule="exact"/>
              <w:jc w:val="center"/>
              <w:rPr>
                <w:rFonts w:hint="default" w:ascii="Times New Roman" w:hAnsi="Times New Roman" w:eastAsia="方正仿宋简体" w:cs="Times New Roman"/>
                <w:color w:val="auto"/>
                <w:sz w:val="24"/>
              </w:rPr>
            </w:pPr>
          </w:p>
        </w:tc>
        <w:tc>
          <w:tcPr>
            <w:tcW w:w="3230" w:type="dxa"/>
            <w:gridSpan w:val="2"/>
            <w:shd w:val="clear" w:color="auto" w:fill="FFFFFF"/>
            <w:noWrap w:val="0"/>
            <w:vAlign w:val="center"/>
          </w:tcPr>
          <w:p>
            <w:pPr>
              <w:pStyle w:val="14"/>
              <w:spacing w:line="240" w:lineRule="exact"/>
              <w:ind w:left="340" w:hanging="34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en-US"/>
              </w:rPr>
              <w:t>5.</w:t>
            </w:r>
            <w:r>
              <w:rPr>
                <w:rFonts w:hint="default" w:ascii="Times New Roman" w:hAnsi="Times New Roman" w:eastAsia="方正仿宋简体" w:cs="Times New Roman"/>
                <w:color w:val="auto"/>
                <w:sz w:val="24"/>
                <w:szCs w:val="24"/>
              </w:rPr>
              <w:t>要求行政机关确认或重新出具已获取信息</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9"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23" w:type="dxa"/>
            <w:gridSpan w:val="2"/>
            <w:vMerge w:val="restart"/>
            <w:shd w:val="clear" w:color="auto" w:fill="FFFFFF"/>
            <w:noWrap w:val="0"/>
            <w:vAlign w:val="center"/>
          </w:tcPr>
          <w:p>
            <w:pPr>
              <w:pStyle w:val="14"/>
              <w:spacing w:line="240" w:lineRule="exact"/>
              <w:ind w:left="340" w:hanging="34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（六）其他处理</w:t>
            </w:r>
          </w:p>
        </w:tc>
        <w:tc>
          <w:tcPr>
            <w:tcW w:w="3224" w:type="dxa"/>
            <w:shd w:val="clear" w:color="auto" w:fill="FFFFFF"/>
            <w:noWrap w:val="0"/>
            <w:vAlign w:val="center"/>
          </w:tcPr>
          <w:p>
            <w:pPr>
              <w:pStyle w:val="14"/>
              <w:spacing w:line="240" w:lineRule="exact"/>
              <w:ind w:left="340" w:hanging="340"/>
              <w:jc w:val="left"/>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1.申请人无正当理由逾期不补正、行政机关不再处理其他政府信息公开申请</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sz w:val="20"/>
                <w:szCs w:val="20"/>
                <w:lang w:val="en-US" w:eastAsia="zh-CN"/>
              </w:rPr>
              <w:t>1</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0"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23" w:type="dxa"/>
            <w:gridSpan w:val="2"/>
            <w:vMerge w:val="continue"/>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p>
        </w:tc>
        <w:tc>
          <w:tcPr>
            <w:tcW w:w="3224" w:type="dxa"/>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2.申请人逾期未按收费通知要求缴纳费用、行政机关不再处理其政府信息公开申请</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1623" w:type="dxa"/>
            <w:gridSpan w:val="2"/>
            <w:vMerge w:val="continue"/>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p>
        </w:tc>
        <w:tc>
          <w:tcPr>
            <w:tcW w:w="3224" w:type="dxa"/>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3.其他</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sz w:val="20"/>
                <w:szCs w:val="20"/>
                <w:lang w:val="en-US" w:eastAsia="zh-CN"/>
              </w:rPr>
              <w:t>4</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9" w:hRule="exact"/>
          <w:jc w:val="center"/>
        </w:trPr>
        <w:tc>
          <w:tcPr>
            <w:tcW w:w="546" w:type="dxa"/>
            <w:vMerge w:val="continue"/>
            <w:shd w:val="clear" w:color="auto" w:fill="FFFFFF"/>
            <w:noWrap w:val="0"/>
            <w:textDirection w:val="tbRlV"/>
            <w:vAlign w:val="center"/>
          </w:tcPr>
          <w:p>
            <w:pPr>
              <w:spacing w:line="240" w:lineRule="exact"/>
              <w:jc w:val="center"/>
              <w:rPr>
                <w:rFonts w:hint="default" w:ascii="Times New Roman" w:hAnsi="Times New Roman" w:eastAsia="方正仿宋简体" w:cs="Times New Roman"/>
                <w:color w:val="auto"/>
                <w:sz w:val="24"/>
              </w:rPr>
            </w:pPr>
          </w:p>
        </w:tc>
        <w:tc>
          <w:tcPr>
            <w:tcW w:w="4847" w:type="dxa"/>
            <w:gridSpan w:val="3"/>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（七）总计</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sz w:val="20"/>
                <w:szCs w:val="20"/>
                <w:lang w:val="en-US" w:eastAsia="zh-CN"/>
              </w:rPr>
              <w:t>153</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0"/>
                <w:szCs w:val="20"/>
                <w:lang w:val="en-US" w:eastAsia="zh-CN"/>
              </w:rPr>
              <w:t>1</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0"/>
                <w:szCs w:val="20"/>
                <w:lang w:val="en-US" w:eastAsia="zh-CN"/>
              </w:rPr>
              <w:t>2</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0"/>
                <w:szCs w:val="20"/>
                <w:lang w:val="en-US" w:eastAsia="zh-CN"/>
              </w:rPr>
              <w:t>1</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sz w:val="20"/>
                <w:szCs w:val="20"/>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exact"/>
          <w:jc w:val="center"/>
        </w:trPr>
        <w:tc>
          <w:tcPr>
            <w:tcW w:w="5393" w:type="dxa"/>
            <w:gridSpan w:val="4"/>
            <w:shd w:val="clear" w:color="auto" w:fill="FFFFFF"/>
            <w:noWrap w:val="0"/>
            <w:vAlign w:val="center"/>
          </w:tcPr>
          <w:p>
            <w:pPr>
              <w:pStyle w:val="14"/>
              <w:spacing w:line="240" w:lineRule="exact"/>
              <w:ind w:firstLine="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四、结转下年度继续办理</w:t>
            </w:r>
          </w:p>
        </w:tc>
        <w:tc>
          <w:tcPr>
            <w:tcW w:w="402"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710"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537" w:type="dxa"/>
            <w:shd w:val="clear" w:color="auto" w:fill="FFFFFF"/>
            <w:noWrap w:val="0"/>
            <w:vAlign w:val="center"/>
          </w:tcPr>
          <w:p>
            <w:pPr>
              <w:spacing w:line="240" w:lineRule="exact"/>
              <w:jc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kern w:val="2"/>
                <w:sz w:val="24"/>
                <w:szCs w:val="24"/>
                <w:lang w:val="en-US" w:eastAsia="zh-CN" w:bidi="ar-SA"/>
              </w:rPr>
              <w:t>0</w:t>
            </w:r>
          </w:p>
        </w:tc>
        <w:tc>
          <w:tcPr>
            <w:tcW w:w="487" w:type="dxa"/>
            <w:shd w:val="clear" w:color="auto" w:fill="FFFFFF"/>
            <w:noWrap w:val="0"/>
            <w:vAlign w:val="center"/>
          </w:tcPr>
          <w:p>
            <w:pPr>
              <w:spacing w:line="240" w:lineRule="exact"/>
              <w:jc w:val="center"/>
              <w:rPr>
                <w:rFonts w:hint="default" w:ascii="Times New Roman" w:hAnsi="Times New Roman" w:eastAsia="方正仿宋简体" w:cs="Times New Roman"/>
                <w:color w:val="auto"/>
                <w:sz w:val="24"/>
                <w:lang w:val="en-US" w:eastAsia="zh-CN"/>
              </w:rPr>
            </w:pPr>
            <w:r>
              <w:rPr>
                <w:rFonts w:hint="default" w:ascii="Times New Roman" w:hAnsi="Times New Roman" w:eastAsia="方正仿宋简体" w:cs="Times New Roman"/>
                <w:color w:val="auto"/>
                <w:kern w:val="2"/>
                <w:sz w:val="24"/>
                <w:szCs w:val="24"/>
                <w:lang w:val="en-US" w:eastAsia="zh-CN" w:bidi="ar-SA"/>
              </w:rPr>
              <w:t>0</w:t>
            </w:r>
          </w:p>
        </w:tc>
      </w:tr>
    </w:tbl>
    <w:p>
      <w:pPr>
        <w:pStyle w:val="7"/>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right="0" w:firstLine="620" w:firstLineChars="200"/>
        <w:jc w:val="both"/>
        <w:textAlignment w:val="auto"/>
        <w:rPr>
          <w:rFonts w:hint="default" w:ascii="Times New Roman" w:hAnsi="Times New Roman" w:eastAsia="方正黑体简体" w:cs="Times New Roman"/>
          <w:i w:val="0"/>
          <w:iCs w:val="0"/>
          <w:caps w:val="0"/>
          <w:color w:val="000000"/>
          <w:spacing w:val="0"/>
          <w:sz w:val="31"/>
          <w:szCs w:val="31"/>
          <w:lang w:eastAsia="zh-CN"/>
        </w:rPr>
      </w:pPr>
      <w:r>
        <w:rPr>
          <w:rFonts w:hint="default" w:ascii="Times New Roman" w:hAnsi="Times New Roman" w:eastAsia="方正黑体简体" w:cs="Times New Roman"/>
          <w:i w:val="0"/>
          <w:iCs w:val="0"/>
          <w:caps w:val="0"/>
          <w:color w:val="000000"/>
          <w:spacing w:val="0"/>
          <w:sz w:val="31"/>
          <w:szCs w:val="31"/>
          <w:lang w:eastAsia="zh-CN"/>
        </w:rPr>
        <w:t>四、政府信息公开行政复议、行政诉讼情况</w:t>
      </w:r>
    </w:p>
    <w:tbl>
      <w:tblPr>
        <w:tblStyle w:val="8"/>
        <w:tblW w:w="9699" w:type="dxa"/>
        <w:jc w:val="center"/>
        <w:tblLayout w:type="fixed"/>
        <w:tblCellMar>
          <w:top w:w="0" w:type="dxa"/>
          <w:left w:w="10" w:type="dxa"/>
          <w:bottom w:w="0" w:type="dxa"/>
          <w:right w:w="10" w:type="dxa"/>
        </w:tblCellMar>
      </w:tblPr>
      <w:tblGrid>
        <w:gridCol w:w="695"/>
        <w:gridCol w:w="695"/>
        <w:gridCol w:w="690"/>
        <w:gridCol w:w="690"/>
        <w:gridCol w:w="635"/>
        <w:gridCol w:w="622"/>
        <w:gridCol w:w="631"/>
        <w:gridCol w:w="622"/>
        <w:gridCol w:w="626"/>
        <w:gridCol w:w="637"/>
        <w:gridCol w:w="622"/>
        <w:gridCol w:w="631"/>
        <w:gridCol w:w="622"/>
        <w:gridCol w:w="626"/>
        <w:gridCol w:w="655"/>
      </w:tblGrid>
      <w:tr>
        <w:tblPrEx>
          <w:tblCellMar>
            <w:top w:w="0" w:type="dxa"/>
            <w:left w:w="10" w:type="dxa"/>
            <w:bottom w:w="0" w:type="dxa"/>
            <w:right w:w="10" w:type="dxa"/>
          </w:tblCellMar>
        </w:tblPrEx>
        <w:trPr>
          <w:trHeight w:val="488" w:hRule="exact"/>
          <w:jc w:val="center"/>
        </w:trPr>
        <w:tc>
          <w:tcPr>
            <w:tcW w:w="3405" w:type="dxa"/>
            <w:gridSpan w:val="5"/>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行政复议</w:t>
            </w:r>
          </w:p>
        </w:tc>
        <w:tc>
          <w:tcPr>
            <w:tcW w:w="6294" w:type="dxa"/>
            <w:gridSpan w:val="10"/>
            <w:tcBorders>
              <w:top w:val="single" w:color="auto" w:sz="4" w:space="0"/>
              <w:left w:val="single" w:color="auto" w:sz="4" w:space="0"/>
              <w:righ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行政诉讼</w:t>
            </w:r>
          </w:p>
        </w:tc>
      </w:tr>
      <w:tr>
        <w:tblPrEx>
          <w:tblCellMar>
            <w:top w:w="0" w:type="dxa"/>
            <w:left w:w="10" w:type="dxa"/>
            <w:bottom w:w="0" w:type="dxa"/>
            <w:right w:w="10" w:type="dxa"/>
          </w:tblCellMar>
        </w:tblPrEx>
        <w:trPr>
          <w:trHeight w:val="426" w:hRule="exact"/>
          <w:jc w:val="center"/>
        </w:trPr>
        <w:tc>
          <w:tcPr>
            <w:tcW w:w="695" w:type="dxa"/>
            <w:vMerge w:val="restart"/>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结果 维持</w:t>
            </w:r>
          </w:p>
        </w:tc>
        <w:tc>
          <w:tcPr>
            <w:tcW w:w="695" w:type="dxa"/>
            <w:vMerge w:val="restart"/>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结果 纠正</w:t>
            </w:r>
          </w:p>
        </w:tc>
        <w:tc>
          <w:tcPr>
            <w:tcW w:w="690" w:type="dxa"/>
            <w:vMerge w:val="restart"/>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其他 结果</w:t>
            </w:r>
          </w:p>
        </w:tc>
        <w:tc>
          <w:tcPr>
            <w:tcW w:w="690" w:type="dxa"/>
            <w:vMerge w:val="restart"/>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尚未 审结</w:t>
            </w:r>
          </w:p>
        </w:tc>
        <w:tc>
          <w:tcPr>
            <w:tcW w:w="635" w:type="dxa"/>
            <w:vMerge w:val="restart"/>
            <w:tcBorders>
              <w:top w:val="single" w:color="auto" w:sz="4" w:space="0"/>
              <w:left w:val="single" w:color="auto" w:sz="4" w:space="0"/>
            </w:tcBorders>
            <w:shd w:val="clear" w:color="auto" w:fill="FFFFFF"/>
            <w:noWrap w:val="0"/>
            <w:textDirection w:val="tbRlV"/>
            <w:vAlign w:val="center"/>
          </w:tcPr>
          <w:p>
            <w:pPr>
              <w:pStyle w:val="15"/>
              <w:spacing w:before="0" w:line="32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总计</w:t>
            </w:r>
          </w:p>
        </w:tc>
        <w:tc>
          <w:tcPr>
            <w:tcW w:w="3138" w:type="dxa"/>
            <w:gridSpan w:val="5"/>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未经复议直接起诉</w:t>
            </w:r>
          </w:p>
        </w:tc>
        <w:tc>
          <w:tcPr>
            <w:tcW w:w="3156" w:type="dxa"/>
            <w:gridSpan w:val="5"/>
            <w:tcBorders>
              <w:top w:val="single" w:color="auto" w:sz="4" w:space="0"/>
              <w:left w:val="single" w:color="auto" w:sz="4" w:space="0"/>
              <w:righ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复议后起诉</w:t>
            </w:r>
          </w:p>
        </w:tc>
      </w:tr>
      <w:tr>
        <w:tblPrEx>
          <w:tblCellMar>
            <w:top w:w="0" w:type="dxa"/>
            <w:left w:w="10" w:type="dxa"/>
            <w:bottom w:w="0" w:type="dxa"/>
            <w:right w:w="10" w:type="dxa"/>
          </w:tblCellMar>
        </w:tblPrEx>
        <w:trPr>
          <w:trHeight w:val="961" w:hRule="exact"/>
          <w:jc w:val="center"/>
        </w:trPr>
        <w:tc>
          <w:tcPr>
            <w:tcW w:w="695" w:type="dxa"/>
            <w:vMerge w:val="continue"/>
            <w:tcBorders>
              <w:left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sz w:val="24"/>
                <w:szCs w:val="24"/>
              </w:rPr>
            </w:pPr>
          </w:p>
        </w:tc>
        <w:tc>
          <w:tcPr>
            <w:tcW w:w="695" w:type="dxa"/>
            <w:vMerge w:val="continue"/>
            <w:tcBorders>
              <w:left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sz w:val="24"/>
                <w:szCs w:val="24"/>
              </w:rPr>
            </w:pPr>
          </w:p>
        </w:tc>
        <w:tc>
          <w:tcPr>
            <w:tcW w:w="690" w:type="dxa"/>
            <w:vMerge w:val="continue"/>
            <w:tcBorders>
              <w:left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sz w:val="24"/>
                <w:szCs w:val="24"/>
              </w:rPr>
            </w:pPr>
          </w:p>
        </w:tc>
        <w:tc>
          <w:tcPr>
            <w:tcW w:w="690" w:type="dxa"/>
            <w:vMerge w:val="continue"/>
            <w:tcBorders>
              <w:left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sz w:val="24"/>
                <w:szCs w:val="24"/>
              </w:rPr>
            </w:pPr>
          </w:p>
        </w:tc>
        <w:tc>
          <w:tcPr>
            <w:tcW w:w="635" w:type="dxa"/>
            <w:vMerge w:val="continue"/>
            <w:tcBorders>
              <w:left w:val="single" w:color="auto" w:sz="4" w:space="0"/>
            </w:tcBorders>
            <w:shd w:val="clear" w:color="auto" w:fill="FFFFFF"/>
            <w:noWrap w:val="0"/>
            <w:textDirection w:val="tbRlV"/>
            <w:vAlign w:val="center"/>
          </w:tcPr>
          <w:p>
            <w:pPr>
              <w:spacing w:line="320" w:lineRule="exact"/>
              <w:jc w:val="center"/>
              <w:rPr>
                <w:rFonts w:hint="default" w:ascii="Times New Roman" w:hAnsi="Times New Roman" w:eastAsia="方正仿宋简体" w:cs="Times New Roman"/>
                <w:sz w:val="24"/>
                <w:szCs w:val="24"/>
              </w:rPr>
            </w:pPr>
          </w:p>
        </w:tc>
        <w:tc>
          <w:tcPr>
            <w:tcW w:w="622" w:type="dxa"/>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结果 维持</w:t>
            </w:r>
          </w:p>
        </w:tc>
        <w:tc>
          <w:tcPr>
            <w:tcW w:w="631" w:type="dxa"/>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结果 纠正</w:t>
            </w:r>
          </w:p>
        </w:tc>
        <w:tc>
          <w:tcPr>
            <w:tcW w:w="622" w:type="dxa"/>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其他 结果</w:t>
            </w:r>
          </w:p>
        </w:tc>
        <w:tc>
          <w:tcPr>
            <w:tcW w:w="626" w:type="dxa"/>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尚未 审结</w:t>
            </w:r>
          </w:p>
        </w:tc>
        <w:tc>
          <w:tcPr>
            <w:tcW w:w="637" w:type="dxa"/>
            <w:tcBorders>
              <w:top w:val="single" w:color="auto" w:sz="4" w:space="0"/>
              <w:left w:val="single" w:color="auto" w:sz="4" w:space="0"/>
            </w:tcBorders>
            <w:shd w:val="clear" w:color="auto" w:fill="FFFFFF"/>
            <w:noWrap w:val="0"/>
            <w:textDirection w:val="tbRlV"/>
            <w:vAlign w:val="center"/>
          </w:tcPr>
          <w:p>
            <w:pPr>
              <w:pStyle w:val="15"/>
              <w:spacing w:before="0" w:line="32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总计</w:t>
            </w:r>
          </w:p>
        </w:tc>
        <w:tc>
          <w:tcPr>
            <w:tcW w:w="622" w:type="dxa"/>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结果 维持</w:t>
            </w:r>
          </w:p>
        </w:tc>
        <w:tc>
          <w:tcPr>
            <w:tcW w:w="631" w:type="dxa"/>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结果 纠正</w:t>
            </w:r>
          </w:p>
        </w:tc>
        <w:tc>
          <w:tcPr>
            <w:tcW w:w="622" w:type="dxa"/>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其他 结果</w:t>
            </w:r>
          </w:p>
        </w:tc>
        <w:tc>
          <w:tcPr>
            <w:tcW w:w="626" w:type="dxa"/>
            <w:tcBorders>
              <w:top w:val="single" w:color="auto" w:sz="4" w:space="0"/>
              <w:left w:val="single" w:color="auto" w:sz="4" w:space="0"/>
            </w:tcBorders>
            <w:shd w:val="clear" w:color="auto" w:fill="FFFFFF"/>
            <w:noWrap w:val="0"/>
            <w:vAlign w:val="center"/>
          </w:tcPr>
          <w:p>
            <w:pPr>
              <w:pStyle w:val="14"/>
              <w:spacing w:line="320" w:lineRule="exact"/>
              <w:ind w:firstLine="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尚未 审结</w:t>
            </w:r>
          </w:p>
        </w:tc>
        <w:tc>
          <w:tcPr>
            <w:tcW w:w="655" w:type="dxa"/>
            <w:tcBorders>
              <w:top w:val="single" w:color="auto" w:sz="4" w:space="0"/>
              <w:left w:val="single" w:color="auto" w:sz="4" w:space="0"/>
              <w:right w:val="single" w:color="auto" w:sz="4" w:space="0"/>
            </w:tcBorders>
            <w:shd w:val="clear" w:color="auto" w:fill="FFFFFF"/>
            <w:noWrap w:val="0"/>
            <w:textDirection w:val="tbRlV"/>
            <w:vAlign w:val="center"/>
          </w:tcPr>
          <w:p>
            <w:pPr>
              <w:pStyle w:val="15"/>
              <w:spacing w:before="0" w:line="32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000000"/>
                <w:sz w:val="24"/>
                <w:szCs w:val="24"/>
              </w:rPr>
              <w:t>总计</w:t>
            </w:r>
          </w:p>
        </w:tc>
      </w:tr>
      <w:tr>
        <w:tblPrEx>
          <w:tblCellMar>
            <w:top w:w="0" w:type="dxa"/>
            <w:left w:w="10" w:type="dxa"/>
            <w:bottom w:w="0" w:type="dxa"/>
            <w:right w:w="10" w:type="dxa"/>
          </w:tblCellMar>
        </w:tblPrEx>
        <w:trPr>
          <w:trHeight w:val="542" w:hRule="exact"/>
          <w:jc w:val="center"/>
        </w:trPr>
        <w:tc>
          <w:tcPr>
            <w:tcW w:w="695"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1</w:t>
            </w:r>
          </w:p>
        </w:tc>
        <w:tc>
          <w:tcPr>
            <w:tcW w:w="695"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3</w:t>
            </w:r>
          </w:p>
        </w:tc>
        <w:tc>
          <w:tcPr>
            <w:tcW w:w="690"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0</w:t>
            </w:r>
          </w:p>
        </w:tc>
        <w:tc>
          <w:tcPr>
            <w:tcW w:w="690"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1</w:t>
            </w:r>
          </w:p>
        </w:tc>
        <w:tc>
          <w:tcPr>
            <w:tcW w:w="635"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5</w:t>
            </w:r>
          </w:p>
        </w:tc>
        <w:tc>
          <w:tcPr>
            <w:tcW w:w="622"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0</w:t>
            </w:r>
          </w:p>
        </w:tc>
        <w:tc>
          <w:tcPr>
            <w:tcW w:w="631"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0</w:t>
            </w:r>
          </w:p>
        </w:tc>
        <w:tc>
          <w:tcPr>
            <w:tcW w:w="622"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1</w:t>
            </w:r>
          </w:p>
        </w:tc>
        <w:tc>
          <w:tcPr>
            <w:tcW w:w="626"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0</w:t>
            </w:r>
          </w:p>
        </w:tc>
        <w:tc>
          <w:tcPr>
            <w:tcW w:w="637"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1</w:t>
            </w:r>
          </w:p>
        </w:tc>
        <w:tc>
          <w:tcPr>
            <w:tcW w:w="622"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0</w:t>
            </w:r>
          </w:p>
        </w:tc>
        <w:tc>
          <w:tcPr>
            <w:tcW w:w="631"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0</w:t>
            </w:r>
          </w:p>
        </w:tc>
        <w:tc>
          <w:tcPr>
            <w:tcW w:w="622"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0</w:t>
            </w:r>
          </w:p>
        </w:tc>
        <w:tc>
          <w:tcPr>
            <w:tcW w:w="626" w:type="dxa"/>
            <w:tcBorders>
              <w:top w:val="single" w:color="auto" w:sz="4" w:space="0"/>
              <w:left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0</w:t>
            </w:r>
          </w:p>
        </w:tc>
        <w:tc>
          <w:tcPr>
            <w:tcW w:w="6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0</w:t>
            </w:r>
          </w:p>
        </w:tc>
      </w:tr>
    </w:tbl>
    <w:p>
      <w:pPr>
        <w:pStyle w:val="7"/>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right="0" w:firstLine="620" w:firstLineChars="200"/>
        <w:jc w:val="both"/>
        <w:textAlignment w:val="auto"/>
        <w:rPr>
          <w:rFonts w:hint="default" w:ascii="Times New Roman" w:hAnsi="Times New Roman" w:eastAsia="方正黑体简体" w:cs="Times New Roman"/>
          <w:i w:val="0"/>
          <w:iCs w:val="0"/>
          <w:caps w:val="0"/>
          <w:color w:val="000000"/>
          <w:spacing w:val="0"/>
          <w:sz w:val="31"/>
          <w:szCs w:val="31"/>
          <w:lang w:val="en-US" w:eastAsia="zh-CN"/>
        </w:rPr>
      </w:pPr>
      <w:r>
        <w:rPr>
          <w:rFonts w:hint="default" w:ascii="Times New Roman" w:hAnsi="Times New Roman" w:eastAsia="方正黑体简体" w:cs="Times New Roman"/>
          <w:i w:val="0"/>
          <w:iCs w:val="0"/>
          <w:caps w:val="0"/>
          <w:color w:val="000000"/>
          <w:spacing w:val="0"/>
          <w:sz w:val="31"/>
          <w:szCs w:val="31"/>
          <w:lang w:val="en-US" w:eastAsia="zh-CN"/>
        </w:rPr>
        <w:t>五、存在的主要问题及改进情况</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2023年，罗庄区人民政府的政府信息公开工作虽然取得一些成效，但仍存在一些问题和不足：</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楷体简体" w:cs="Times New Roman"/>
          <w:i w:val="0"/>
          <w:iCs w:val="0"/>
          <w:caps w:val="0"/>
          <w:color w:val="auto"/>
          <w:spacing w:val="0"/>
          <w:sz w:val="31"/>
          <w:szCs w:val="31"/>
          <w:lang w:val="en-US" w:eastAsia="zh-CN"/>
        </w:rPr>
        <w:t>（一）主动公开精准度有待进一步提高。</w:t>
      </w:r>
      <w:r>
        <w:rPr>
          <w:rFonts w:hint="default" w:ascii="Times New Roman" w:hAnsi="Times New Roman" w:eastAsia="方正仿宋简体" w:cs="Times New Roman"/>
          <w:color w:val="000000"/>
          <w:kern w:val="2"/>
          <w:sz w:val="31"/>
          <w:szCs w:val="32"/>
          <w:lang w:val="en-US" w:eastAsia="zh-CN" w:bidi="ar"/>
        </w:rPr>
        <w:t>对群众关注的热点和重点需求了解不够深入，涉及民生热点问题的政府信息公开力度有待进一步精准，尤其是房屋征收、教育入学、营商政策等相关信息。</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楷体简体" w:cs="Times New Roman"/>
          <w:i w:val="0"/>
          <w:iCs w:val="0"/>
          <w:caps w:val="0"/>
          <w:color w:val="auto"/>
          <w:spacing w:val="0"/>
          <w:sz w:val="31"/>
          <w:szCs w:val="31"/>
          <w:lang w:val="en-US" w:eastAsia="zh-CN"/>
        </w:rPr>
        <w:t>（二）信息平台建设有待进一步加强。</w:t>
      </w:r>
      <w:r>
        <w:rPr>
          <w:rFonts w:hint="default" w:ascii="Times New Roman" w:hAnsi="Times New Roman" w:eastAsia="方正仿宋简体" w:cs="Times New Roman"/>
          <w:color w:val="000000"/>
          <w:kern w:val="2"/>
          <w:sz w:val="31"/>
          <w:szCs w:val="32"/>
          <w:lang w:val="en-US" w:eastAsia="zh-CN" w:bidi="ar"/>
        </w:rPr>
        <w:t>网站版面和数据的集约化程度不足，栏目设置有待进一步细化，政府网站管理服务水平有待提高。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楷体简体" w:cs="Times New Roman"/>
          <w:i w:val="0"/>
          <w:iCs w:val="0"/>
          <w:caps w:val="0"/>
          <w:color w:val="auto"/>
          <w:spacing w:val="0"/>
          <w:sz w:val="31"/>
          <w:szCs w:val="31"/>
          <w:lang w:val="en-US" w:eastAsia="zh-CN"/>
        </w:rPr>
        <w:t>（三）信息公开业务能力有待进一步提升。</w:t>
      </w:r>
      <w:r>
        <w:rPr>
          <w:rFonts w:hint="default" w:ascii="Times New Roman" w:hAnsi="Times New Roman" w:eastAsia="方正仿宋简体" w:cs="Times New Roman"/>
          <w:color w:val="000000"/>
          <w:kern w:val="2"/>
          <w:sz w:val="31"/>
          <w:szCs w:val="32"/>
          <w:lang w:val="en-US" w:eastAsia="zh-CN" w:bidi="ar"/>
        </w:rPr>
        <w:t>工作人员流动较强，交接不够规范，出现断档现象，业务指导需要进一步强化。</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针对存在的问题，在今后的政府信息公开工作中主要采取以下改进措施：</w:t>
      </w:r>
      <w:r>
        <w:rPr>
          <w:rFonts w:hint="default" w:ascii="Times New Roman" w:hAnsi="Times New Roman" w:eastAsia="方正仿宋简体" w:cs="Times New Roman"/>
          <w:b/>
          <w:bCs/>
          <w:color w:val="000000"/>
          <w:kern w:val="2"/>
          <w:sz w:val="31"/>
          <w:szCs w:val="32"/>
          <w:lang w:val="en-US" w:eastAsia="zh-CN" w:bidi="ar"/>
        </w:rPr>
        <w:t>一是提高公开意识。</w:t>
      </w:r>
      <w:r>
        <w:rPr>
          <w:rFonts w:hint="default" w:ascii="Times New Roman" w:hAnsi="Times New Roman" w:eastAsia="方正仿宋简体" w:cs="Times New Roman"/>
          <w:color w:val="000000"/>
          <w:kern w:val="2"/>
          <w:sz w:val="31"/>
          <w:szCs w:val="32"/>
          <w:lang w:val="en-US" w:eastAsia="zh-CN" w:bidi="ar"/>
        </w:rPr>
        <w:t>进一步把政府信息主动公开工作摆上重要位置，加强安排落实，注重宣传引导，把公开工作做得更扎实。</w:t>
      </w:r>
      <w:r>
        <w:rPr>
          <w:rFonts w:hint="default" w:ascii="Times New Roman" w:hAnsi="Times New Roman" w:eastAsia="方正仿宋简体" w:cs="Times New Roman"/>
          <w:b/>
          <w:bCs/>
          <w:color w:val="000000"/>
          <w:kern w:val="2"/>
          <w:sz w:val="31"/>
          <w:szCs w:val="32"/>
          <w:lang w:val="en-US" w:eastAsia="zh-CN" w:bidi="ar"/>
        </w:rPr>
        <w:t>二是拓宽公开渠道。</w:t>
      </w:r>
      <w:r>
        <w:rPr>
          <w:rFonts w:hint="default" w:ascii="Times New Roman" w:hAnsi="Times New Roman" w:eastAsia="方正仿宋简体" w:cs="Times New Roman"/>
          <w:b w:val="0"/>
          <w:bCs w:val="0"/>
          <w:color w:val="000000"/>
          <w:kern w:val="2"/>
          <w:sz w:val="31"/>
          <w:szCs w:val="32"/>
          <w:lang w:val="en-US" w:eastAsia="zh-CN" w:bidi="ar"/>
        </w:rPr>
        <w:t>进一步</w:t>
      </w:r>
      <w:r>
        <w:rPr>
          <w:rFonts w:hint="default" w:ascii="Times New Roman" w:hAnsi="Times New Roman" w:eastAsia="方正仿宋简体" w:cs="Times New Roman"/>
          <w:color w:val="000000"/>
          <w:kern w:val="2"/>
          <w:sz w:val="31"/>
          <w:szCs w:val="32"/>
          <w:lang w:val="en-US" w:eastAsia="zh-CN" w:bidi="ar"/>
        </w:rPr>
        <w:t>完善政府信息公开指南、信息公开制度相关信息，采用图片及视频等多元化形式，及时公开群众关心的重要会议、民生领域、政策法规等方面的信息。</w:t>
      </w:r>
      <w:r>
        <w:rPr>
          <w:rFonts w:hint="default" w:ascii="Times New Roman" w:hAnsi="Times New Roman" w:eastAsia="方正仿宋简体" w:cs="Times New Roman"/>
          <w:b/>
          <w:bCs/>
          <w:color w:val="000000"/>
          <w:kern w:val="2"/>
          <w:sz w:val="31"/>
          <w:szCs w:val="32"/>
          <w:lang w:val="en-US" w:eastAsia="zh-CN" w:bidi="ar"/>
        </w:rPr>
        <w:t>三是加强业务培训。</w:t>
      </w:r>
      <w:r>
        <w:rPr>
          <w:rFonts w:hint="default" w:ascii="Times New Roman" w:hAnsi="Times New Roman" w:eastAsia="方正仿宋简体" w:cs="Times New Roman"/>
          <w:color w:val="000000"/>
          <w:kern w:val="2"/>
          <w:sz w:val="31"/>
          <w:szCs w:val="32"/>
          <w:lang w:val="en-US" w:eastAsia="zh-CN" w:bidi="ar"/>
        </w:rPr>
        <w:t>定期开展政务公开工作专题培训和“一对一”培训，加强理论讲解和实践训练，提升政府信息公开工作的规范化水平。</w:t>
      </w:r>
    </w:p>
    <w:p>
      <w:pPr>
        <w:pStyle w:val="7"/>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right="0" w:firstLine="620" w:firstLineChars="200"/>
        <w:jc w:val="both"/>
        <w:textAlignment w:val="auto"/>
        <w:rPr>
          <w:rFonts w:hint="default" w:ascii="Times New Roman" w:hAnsi="Times New Roman" w:eastAsia="方正黑体简体" w:cs="Times New Roman"/>
          <w:i w:val="0"/>
          <w:iCs w:val="0"/>
          <w:caps w:val="0"/>
          <w:color w:val="000000"/>
          <w:spacing w:val="0"/>
          <w:sz w:val="31"/>
          <w:szCs w:val="31"/>
          <w:lang w:eastAsia="zh-CN"/>
        </w:rPr>
      </w:pPr>
      <w:r>
        <w:rPr>
          <w:rFonts w:hint="default" w:ascii="Times New Roman" w:hAnsi="Times New Roman" w:eastAsia="方正黑体简体" w:cs="Times New Roman"/>
          <w:i w:val="0"/>
          <w:iCs w:val="0"/>
          <w:caps w:val="0"/>
          <w:color w:val="000000"/>
          <w:spacing w:val="0"/>
          <w:sz w:val="31"/>
          <w:szCs w:val="31"/>
          <w:lang w:eastAsia="zh-CN"/>
        </w:rPr>
        <w:t>六、其他需要报告的事项</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楷体简体" w:cs="Times New Roman"/>
          <w:i w:val="0"/>
          <w:iCs w:val="0"/>
          <w:caps w:val="0"/>
          <w:color w:val="auto"/>
          <w:spacing w:val="0"/>
          <w:sz w:val="31"/>
          <w:szCs w:val="31"/>
          <w:lang w:val="en-US" w:eastAsia="zh-CN"/>
        </w:rPr>
      </w:pPr>
      <w:r>
        <w:rPr>
          <w:rFonts w:hint="default" w:ascii="Times New Roman" w:hAnsi="Times New Roman" w:eastAsia="方正楷体简体" w:cs="Times New Roman"/>
          <w:i w:val="0"/>
          <w:iCs w:val="0"/>
          <w:caps w:val="0"/>
          <w:color w:val="auto"/>
          <w:spacing w:val="0"/>
          <w:sz w:val="31"/>
          <w:szCs w:val="31"/>
          <w:lang w:val="en-US" w:eastAsia="zh-CN"/>
        </w:rPr>
        <w:t>（一）依申请公开信息处理费收费情况</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根据《政府信息公开信息处理费管理办法》计量标准，本年度全区各街镇、各部门未收取政府信息公开信息处理费。</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楷体简体" w:cs="Times New Roman"/>
          <w:i w:val="0"/>
          <w:iCs w:val="0"/>
          <w:caps w:val="0"/>
          <w:color w:val="auto"/>
          <w:spacing w:val="0"/>
          <w:sz w:val="31"/>
          <w:szCs w:val="31"/>
          <w:lang w:val="en-US" w:eastAsia="zh-CN"/>
        </w:rPr>
      </w:pPr>
      <w:r>
        <w:rPr>
          <w:rFonts w:hint="default" w:ascii="Times New Roman" w:hAnsi="Times New Roman" w:eastAsia="方正楷体简体" w:cs="Times New Roman"/>
          <w:i w:val="0"/>
          <w:iCs w:val="0"/>
          <w:caps w:val="0"/>
          <w:color w:val="auto"/>
          <w:spacing w:val="0"/>
          <w:sz w:val="31"/>
          <w:szCs w:val="31"/>
          <w:lang w:val="en-US" w:eastAsia="zh-CN"/>
        </w:rPr>
        <w:t>（二）本行政机关落实上级年度政务公开工作要点情况</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罗庄区认真贯彻《山东省人民政府办公厅关于印发2023年山东省政务公开工作要点的通知》（鲁政办发〔2023〕8号）和《临沂市人民政府办公室关于印发2023年临沂市政务公开工作要点的通知》（临政办字〔2023〕45号）文件要求，</w:t>
      </w:r>
      <w:r>
        <w:rPr>
          <w:rFonts w:hint="default" w:ascii="Times New Roman" w:hAnsi="Times New Roman" w:eastAsia="方正仿宋简体" w:cs="Times New Roman"/>
          <w:color w:val="000000"/>
          <w:kern w:val="2"/>
          <w:sz w:val="31"/>
          <w:szCs w:val="32"/>
          <w:lang w:val="en-US" w:eastAsia="zh-CN" w:bidi="ar"/>
        </w:rPr>
        <w:fldChar w:fldCharType="begin"/>
      </w:r>
      <w:r>
        <w:rPr>
          <w:rFonts w:hint="default" w:ascii="Times New Roman" w:hAnsi="Times New Roman" w:eastAsia="方正仿宋简体" w:cs="Times New Roman"/>
          <w:color w:val="000000"/>
          <w:kern w:val="2"/>
          <w:sz w:val="31"/>
          <w:szCs w:val="32"/>
          <w:lang w:val="en-US" w:eastAsia="zh-CN" w:bidi="ar"/>
        </w:rPr>
        <w:instrText xml:space="preserve"> HYPERLINK "https://www.so.com/link?m=bXA40U41CWbUa3piTeSR9xXEKrn1rlun0H3hX1TJusDII4p4JI9P7talZ1T32ePeq8e7X0t7WL4/fiDbBRt1suePHH/k5tR4S2Sa1aSsCmQksHRcIbNYRGl75ZgJjuVAvsDcGSxWjYFktk2gX3lC65cm9R0S5z2pR2WgtIGyJVCiKwReQPr9dmrH60TsloJ4Qht3D8MO3/bNA17nwpFXztKcD/zss2lMV1XJt320Uo393OZabNAIG9+WllgPDGqnlHidqWKQ9LKIDhHp67lSM5n8TAIO7ws/y4s58cms0TN8U+JKrrc8Gxow1haTu2t4GgQ/1DCu8Lwvxdm2Mcymbzt68LpZH9pKAqcbxrpEnkbbJLU4kOHZ96/OZvWg=" \t "https://www.so.com/_blank" </w:instrText>
      </w:r>
      <w:r>
        <w:rPr>
          <w:rFonts w:hint="default" w:ascii="Times New Roman" w:hAnsi="Times New Roman" w:eastAsia="方正仿宋简体" w:cs="Times New Roman"/>
          <w:color w:val="000000"/>
          <w:kern w:val="2"/>
          <w:sz w:val="31"/>
          <w:szCs w:val="32"/>
          <w:lang w:val="en-US" w:eastAsia="zh-CN" w:bidi="ar"/>
        </w:rPr>
        <w:fldChar w:fldCharType="separate"/>
      </w:r>
      <w:r>
        <w:rPr>
          <w:rFonts w:hint="default" w:ascii="Times New Roman" w:hAnsi="Times New Roman" w:eastAsia="方正仿宋简体" w:cs="Times New Roman"/>
          <w:color w:val="000000"/>
          <w:kern w:val="2"/>
          <w:sz w:val="31"/>
          <w:szCs w:val="32"/>
          <w:lang w:val="en-US" w:eastAsia="zh-CN" w:bidi="ar"/>
        </w:rPr>
        <w:t>完善体制机制，强化日常督导，</w:t>
      </w:r>
      <w:r>
        <w:rPr>
          <w:rFonts w:hint="default" w:ascii="Times New Roman" w:hAnsi="Times New Roman" w:eastAsia="方正仿宋简体" w:cs="Times New Roman"/>
          <w:color w:val="000000"/>
          <w:kern w:val="2"/>
          <w:sz w:val="31"/>
          <w:szCs w:val="32"/>
          <w:lang w:val="en-US" w:eastAsia="zh-CN" w:bidi="ar"/>
        </w:rPr>
        <w:fldChar w:fldCharType="end"/>
      </w:r>
      <w:r>
        <w:rPr>
          <w:rFonts w:hint="default" w:ascii="Times New Roman" w:hAnsi="Times New Roman" w:eastAsia="方正仿宋简体" w:cs="Times New Roman"/>
          <w:color w:val="000000"/>
          <w:kern w:val="2"/>
          <w:sz w:val="31"/>
          <w:szCs w:val="32"/>
          <w:lang w:val="en-US" w:eastAsia="zh-CN" w:bidi="ar"/>
        </w:rPr>
        <w:t>全力推动政务公开工作实现高质量发展。</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2"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b/>
          <w:bCs/>
          <w:color w:val="000000"/>
          <w:kern w:val="2"/>
          <w:sz w:val="31"/>
          <w:szCs w:val="32"/>
          <w:lang w:val="en-US" w:eastAsia="zh-CN" w:bidi="ar"/>
        </w:rPr>
        <w:t>一是优化主动公开。</w:t>
      </w:r>
      <w:r>
        <w:rPr>
          <w:rFonts w:hint="default" w:ascii="Times New Roman" w:hAnsi="Times New Roman" w:eastAsia="方正仿宋简体" w:cs="Times New Roman"/>
          <w:color w:val="000000"/>
          <w:kern w:val="2"/>
          <w:sz w:val="31"/>
          <w:szCs w:val="32"/>
          <w:lang w:val="en-US" w:eastAsia="zh-CN" w:bidi="ar"/>
        </w:rPr>
        <w:t>制定《2023年罗庄区政务公开工作要点》，持续提升政务公开标准化、规范化和信息化水平，更好地发挥以公开促落实、助监督、强监管、防风险作用，助力打造法治政府、效能政府、数字政府、廉洁政府和服务型政府。严格按照《条例》等有关法规要求，进一步完善依申请公开工作协助调查、会商、归档等各个环节的程序，加强部门会商协作，依法依规做好政府信息依申请公开答复工作。深化公共企事业单位信息公开，加强对网站栏目设置的监督指导，教育、卫生健康、供气供水等领域的19个企事业单位以汇总链接形式在平台进行信息集中展示，确保栏目清晰、要素齐全、及时更新。</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2"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b/>
          <w:bCs/>
          <w:color w:val="000000"/>
          <w:kern w:val="2"/>
          <w:sz w:val="31"/>
          <w:szCs w:val="32"/>
          <w:lang w:val="en-US" w:eastAsia="zh-CN" w:bidi="ar"/>
        </w:rPr>
        <w:t>二是深化决策公开。</w:t>
      </w:r>
      <w:r>
        <w:rPr>
          <w:rFonts w:hint="default" w:ascii="Times New Roman" w:hAnsi="Times New Roman" w:eastAsia="方正仿宋简体" w:cs="Times New Roman"/>
          <w:color w:val="000000"/>
          <w:kern w:val="2"/>
          <w:sz w:val="31"/>
          <w:szCs w:val="32"/>
          <w:lang w:val="en-US" w:eastAsia="zh-CN" w:bidi="ar"/>
        </w:rPr>
        <w:t>深入落实重大行政决策事项公开，按照“应入尽入”的原则，确定本级政府年度重大行政决策事项目录，以事项目录超链接方式归集展示决策草案全文、草案说明、决策背景、公众意见建议收集和采纳情况、公众代表列席决策会议情况、决策结果等信息。持续抓好政策高质量解读，针对行政规范性文件以及行政机关制发的对公众权益产生影响的政策文件，在文字、图片、视频解读基础上，采用领导访谈、简明问答等形式开展精准有效解读。深入开展政策评价，选取重点政策，围绕执行标准、使用情况、取得成效、存在问题等，通过后评估等方式开展实施效果评价，全面掌握政策落地情况。</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2"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b/>
          <w:bCs/>
          <w:color w:val="000000"/>
          <w:kern w:val="2"/>
          <w:sz w:val="31"/>
          <w:szCs w:val="32"/>
          <w:lang w:val="en-US" w:eastAsia="zh-CN" w:bidi="ar"/>
        </w:rPr>
        <w:t>三是完善体制机制。</w:t>
      </w:r>
      <w:r>
        <w:rPr>
          <w:rFonts w:hint="default" w:ascii="Times New Roman" w:hAnsi="Times New Roman" w:eastAsia="方正仿宋简体" w:cs="Times New Roman"/>
          <w:color w:val="000000"/>
          <w:kern w:val="2"/>
          <w:sz w:val="31"/>
          <w:szCs w:val="32"/>
          <w:lang w:val="en-US" w:eastAsia="zh-CN" w:bidi="ar"/>
        </w:rPr>
        <w:t>把政务公开工作纳入了全区经济社会发展综合考核体系；及时调整政务公开领导小组；区级分管领导多次对政务公开工作作出批示，提出工作要求。统筹推进财政预决算、公共企事业单位等信息公开，各街镇、各部门配备政务公开专职人员至少1人，在全区形成了各重点领域信息公开的专业队伍。</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楷体简体" w:cs="Times New Roman"/>
          <w:i w:val="0"/>
          <w:iCs w:val="0"/>
          <w:caps w:val="0"/>
          <w:color w:val="auto"/>
          <w:spacing w:val="0"/>
          <w:sz w:val="31"/>
          <w:szCs w:val="31"/>
          <w:lang w:val="en-US" w:eastAsia="zh-CN"/>
        </w:rPr>
      </w:pPr>
      <w:r>
        <w:rPr>
          <w:rFonts w:hint="default" w:ascii="Times New Roman" w:hAnsi="Times New Roman" w:eastAsia="方正楷体简体" w:cs="Times New Roman"/>
          <w:i w:val="0"/>
          <w:iCs w:val="0"/>
          <w:caps w:val="0"/>
          <w:color w:val="auto"/>
          <w:spacing w:val="0"/>
          <w:sz w:val="31"/>
          <w:szCs w:val="31"/>
          <w:lang w:val="en-US" w:eastAsia="zh-CN"/>
        </w:rPr>
        <w:t>（三）本年度建议提案办理情况</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2023年，罗庄区收到4件市人大代表建议，已按期保质完成；共收到区人大代表建议52件，其中工业交通方面12件、占23.08%，城建土地环保方面10件、占19.23%，农林水牧方面10件、占19.23%，教科文卫方面13件、占25%，公安交警方面4件、占总数的7.7%，社会保障方面3件、占总数的5.8%。所有建议均在规定时间内全部办理完毕，办复率100%。罗庄区收到2件市政协提案，已按期保质完成；共收到区政协提案76件，已全部立案，其中社会类提案46件、占60.5%，经济类提案17件、占22.4%，政治类提案3件、占4%，文化类提案8件、占10.5%，生态文明类提案2件、占2.6%。所有立案案件均在规定时间内全部办理完成，办复率100%。</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同时，依托“建议提案办理”专栏，对罗庄区人大代表建议和政协提案办理结果进行集中公开，方便公众查询。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楷体简体" w:cs="Times New Roman"/>
          <w:i w:val="0"/>
          <w:iCs w:val="0"/>
          <w:caps w:val="0"/>
          <w:color w:val="auto"/>
          <w:spacing w:val="0"/>
          <w:sz w:val="31"/>
          <w:szCs w:val="31"/>
          <w:lang w:val="en-US" w:eastAsia="zh-CN"/>
        </w:rPr>
      </w:pPr>
      <w:r>
        <w:rPr>
          <w:rFonts w:hint="default" w:ascii="Times New Roman" w:hAnsi="Times New Roman" w:eastAsia="方正楷体简体" w:cs="Times New Roman"/>
          <w:i w:val="0"/>
          <w:iCs w:val="0"/>
          <w:caps w:val="0"/>
          <w:color w:val="auto"/>
          <w:spacing w:val="0"/>
          <w:sz w:val="31"/>
          <w:szCs w:val="31"/>
          <w:lang w:val="en-US" w:eastAsia="zh-CN"/>
        </w:rPr>
        <w:t>（四）政务公开工作创新实践情况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22"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b/>
          <w:bCs/>
          <w:color w:val="000000"/>
          <w:kern w:val="2"/>
          <w:sz w:val="31"/>
          <w:szCs w:val="32"/>
          <w:lang w:val="en-US" w:eastAsia="zh-CN" w:bidi="ar"/>
        </w:rPr>
        <w:t>一是深化政民互动，有效实现互动回应。</w:t>
      </w:r>
      <w:r>
        <w:rPr>
          <w:rFonts w:hint="default" w:ascii="Times New Roman" w:hAnsi="Times New Roman" w:eastAsia="方正仿宋简体" w:cs="Times New Roman"/>
          <w:color w:val="000000"/>
          <w:kern w:val="2"/>
          <w:sz w:val="31"/>
          <w:szCs w:val="32"/>
          <w:lang w:val="en-US" w:eastAsia="zh-CN" w:bidi="ar"/>
        </w:rPr>
        <w:t>推动政务公开和群众诉求双向对接，围绕民生实事等重点工作，拓展政民互动渠道，开展“政府开放日”活动，邀请人大代表、政协委员、群众代表、媒体记者走进现场，走进政府，观摩工作进展，评议工作质效，提出工作建议，回应社会关切、做好答疑解惑，共召开活动6次，获得企业、群众充分肯定。</w:t>
      </w:r>
      <w:r>
        <w:rPr>
          <w:rFonts w:hint="default" w:ascii="Times New Roman" w:hAnsi="Times New Roman" w:eastAsia="方正仿宋简体" w:cs="Times New Roman"/>
          <w:b/>
          <w:bCs/>
          <w:color w:val="000000"/>
          <w:kern w:val="2"/>
          <w:sz w:val="31"/>
          <w:szCs w:val="32"/>
          <w:lang w:val="en-US" w:eastAsia="zh-CN" w:bidi="ar"/>
        </w:rPr>
        <w:t>二是规范答复申请，提升监督保障能力。</w:t>
      </w:r>
      <w:r>
        <w:rPr>
          <w:rFonts w:hint="default" w:ascii="Times New Roman" w:hAnsi="Times New Roman" w:eastAsia="方正仿宋简体" w:cs="Times New Roman"/>
          <w:color w:val="000000"/>
          <w:kern w:val="2"/>
          <w:sz w:val="31"/>
          <w:szCs w:val="32"/>
          <w:lang w:val="en-US" w:eastAsia="zh-CN" w:bidi="ar"/>
        </w:rPr>
        <w:t>为检查全区行政机关政府信息依申请公开渠道的畅通性、答复的及时性、答复内容的规范性，罗庄区政府办公室对48个部门（单位）开展了依申请公开渠道畅通性测试以及答复规范性检查，进一步提升依申请公开工作为民服务质效，全面保障公众获取政</w:t>
      </w:r>
      <w:bookmarkStart w:id="0" w:name="_GoBack"/>
      <w:bookmarkEnd w:id="0"/>
      <w:r>
        <w:rPr>
          <w:rFonts w:hint="default" w:ascii="Times New Roman" w:hAnsi="Times New Roman" w:eastAsia="方正仿宋简体" w:cs="Times New Roman"/>
          <w:color w:val="000000"/>
          <w:kern w:val="2"/>
          <w:sz w:val="31"/>
          <w:szCs w:val="32"/>
          <w:lang w:val="en-US" w:eastAsia="zh-CN" w:bidi="ar"/>
        </w:rPr>
        <w:t>府信息的权利，依申请公开办理工作的科学化、规范化、智能化水平持续提升。</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楷体简体" w:cs="Times New Roman"/>
          <w:i w:val="0"/>
          <w:iCs w:val="0"/>
          <w:caps w:val="0"/>
          <w:color w:val="auto"/>
          <w:spacing w:val="0"/>
          <w:sz w:val="31"/>
          <w:szCs w:val="31"/>
          <w:lang w:val="en-US" w:eastAsia="zh-CN"/>
        </w:rPr>
      </w:pPr>
      <w:r>
        <w:rPr>
          <w:rFonts w:hint="default" w:ascii="Times New Roman" w:hAnsi="Times New Roman" w:eastAsia="方正楷体简体" w:cs="Times New Roman"/>
          <w:i w:val="0"/>
          <w:iCs w:val="0"/>
          <w:caps w:val="0"/>
          <w:color w:val="auto"/>
          <w:spacing w:val="0"/>
          <w:sz w:val="31"/>
          <w:szCs w:val="31"/>
          <w:lang w:val="en-US" w:eastAsia="zh-CN"/>
        </w:rPr>
        <w:t>（五）年度数据统计需要说明的事项</w:t>
      </w:r>
    </w:p>
    <w:p>
      <w:pPr>
        <w:keepNext w:val="0"/>
        <w:keepLines w:val="0"/>
        <w:pageBreakBefore w:val="0"/>
        <w:widowControl w:val="0"/>
        <w:kinsoku/>
        <w:wordWrap/>
        <w:overflowPunct/>
        <w:topLinePunct w:val="0"/>
        <w:autoSpaceDE/>
        <w:autoSpaceDN/>
        <w:bidi w:val="0"/>
        <w:adjustRightInd w:val="0"/>
        <w:snapToGrid w:val="0"/>
        <w:spacing w:line="590" w:lineRule="exact"/>
        <w:ind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无。</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default" w:ascii="Times New Roman" w:hAnsi="Times New Roman" w:eastAsia="方正楷体简体" w:cs="Times New Roman"/>
          <w:i w:val="0"/>
          <w:iCs w:val="0"/>
          <w:caps w:val="0"/>
          <w:color w:val="auto"/>
          <w:spacing w:val="0"/>
          <w:sz w:val="31"/>
          <w:szCs w:val="31"/>
          <w:lang w:val="en-US" w:eastAsia="zh-CN"/>
        </w:rPr>
      </w:pPr>
      <w:r>
        <w:rPr>
          <w:rFonts w:hint="default" w:ascii="Times New Roman" w:hAnsi="Times New Roman" w:eastAsia="方正楷体简体" w:cs="Times New Roman"/>
          <w:i w:val="0"/>
          <w:iCs w:val="0"/>
          <w:caps w:val="0"/>
          <w:color w:val="auto"/>
          <w:spacing w:val="0"/>
          <w:sz w:val="31"/>
          <w:szCs w:val="31"/>
          <w:lang w:val="en-US" w:eastAsia="zh-CN"/>
        </w:rPr>
        <w:t>（六）本行政机关认为需要报告的其他事项</w:t>
      </w:r>
    </w:p>
    <w:p>
      <w:pPr>
        <w:keepNext w:val="0"/>
        <w:keepLines w:val="0"/>
        <w:pageBreakBefore w:val="0"/>
        <w:widowControl w:val="0"/>
        <w:kinsoku/>
        <w:wordWrap/>
        <w:overflowPunct/>
        <w:topLinePunct w:val="0"/>
        <w:autoSpaceDE/>
        <w:autoSpaceDN/>
        <w:bidi w:val="0"/>
        <w:adjustRightInd w:val="0"/>
        <w:snapToGrid w:val="0"/>
        <w:spacing w:line="590" w:lineRule="exact"/>
        <w:ind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无。</w:t>
      </w:r>
    </w:p>
    <w:p>
      <w:pPr>
        <w:keepNext w:val="0"/>
        <w:keepLines w:val="0"/>
        <w:pageBreakBefore w:val="0"/>
        <w:widowControl w:val="0"/>
        <w:kinsoku/>
        <w:wordWrap/>
        <w:overflowPunct/>
        <w:topLinePunct w:val="0"/>
        <w:autoSpaceDE/>
        <w:autoSpaceDN/>
        <w:bidi w:val="0"/>
        <w:adjustRightInd w:val="0"/>
        <w:snapToGrid w:val="0"/>
        <w:spacing w:line="590" w:lineRule="exact"/>
        <w:ind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楷体简体" w:cs="Times New Roman"/>
          <w:i w:val="0"/>
          <w:iCs w:val="0"/>
          <w:caps w:val="0"/>
          <w:color w:val="auto"/>
          <w:spacing w:val="0"/>
          <w:kern w:val="0"/>
          <w:sz w:val="31"/>
          <w:szCs w:val="31"/>
          <w:lang w:val="en-US" w:eastAsia="zh-CN" w:bidi="ar"/>
        </w:rPr>
        <w:t>（七）其他有关文件专门要求通过政府信息公开工作年度报告予以报告的事项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val="0"/>
        <w:snapToGrid w:val="0"/>
        <w:spacing w:line="590" w:lineRule="exact"/>
        <w:ind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t>无。</w:t>
      </w:r>
    </w:p>
    <w:p>
      <w:pPr>
        <w:keepNext w:val="0"/>
        <w:keepLines w:val="0"/>
        <w:pageBreakBefore w:val="0"/>
        <w:widowControl w:val="0"/>
        <w:kinsoku/>
        <w:wordWrap/>
        <w:overflowPunct/>
        <w:topLinePunct w:val="0"/>
        <w:autoSpaceDE/>
        <w:autoSpaceDN/>
        <w:bidi w:val="0"/>
        <w:adjustRightInd w:val="0"/>
        <w:snapToGrid w:val="0"/>
        <w:spacing w:line="540" w:lineRule="exact"/>
        <w:ind w:firstLine="620" w:firstLineChars="200"/>
        <w:jc w:val="both"/>
        <w:textAlignment w:val="auto"/>
        <w:rPr>
          <w:rFonts w:hint="default" w:ascii="Times New Roman" w:hAnsi="Times New Roman" w:eastAsia="方正仿宋简体" w:cs="Times New Roman"/>
          <w:color w:val="000000"/>
          <w:kern w:val="2"/>
          <w:sz w:val="31"/>
          <w:szCs w:val="32"/>
          <w:lang w:val="en-US" w:eastAsia="zh-CN" w:bidi="ar"/>
        </w:rPr>
      </w:pPr>
      <w:r>
        <w:rPr>
          <w:rFonts w:hint="default" w:ascii="Times New Roman" w:hAnsi="Times New Roman" w:eastAsia="方正仿宋简体" w:cs="Times New Roman"/>
          <w:color w:val="000000"/>
          <w:kern w:val="2"/>
          <w:sz w:val="31"/>
          <w:szCs w:val="32"/>
          <w:lang w:val="en-US" w:eastAsia="zh-CN" w:bidi="ar"/>
        </w:rPr>
        <w:drawing>
          <wp:anchor distT="0" distB="0" distL="114300" distR="114300" simplePos="0" relativeHeight="251660288" behindDoc="0" locked="0" layoutInCell="1" allowOverlap="1">
            <wp:simplePos x="0" y="0"/>
            <wp:positionH relativeFrom="column">
              <wp:posOffset>-972185</wp:posOffset>
            </wp:positionH>
            <wp:positionV relativeFrom="paragraph">
              <wp:posOffset>7707630</wp:posOffset>
            </wp:positionV>
            <wp:extent cx="7656830" cy="316865"/>
            <wp:effectExtent l="0" t="0" r="1270" b="0"/>
            <wp:wrapNone/>
            <wp:docPr id="38" name="图片 38" descr="cad3bbb3e75c582ded3ae7727101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ad3bbb3e75c582ded3ae77271013a0"/>
                    <pic:cNvPicPr>
                      <a:picLocks noChangeAspect="1"/>
                    </pic:cNvPicPr>
                  </pic:nvPicPr>
                  <pic:blipFill>
                    <a:blip r:embed="rId9"/>
                    <a:stretch>
                      <a:fillRect/>
                    </a:stretch>
                  </pic:blipFill>
                  <pic:spPr>
                    <a:xfrm>
                      <a:off x="0" y="0"/>
                      <a:ext cx="7656830" cy="316865"/>
                    </a:xfrm>
                    <a:prstGeom prst="rect">
                      <a:avLst/>
                    </a:prstGeom>
                  </pic:spPr>
                </pic:pic>
              </a:graphicData>
            </a:graphic>
          </wp:anchor>
        </w:drawing>
      </w:r>
    </w:p>
    <w:sectPr>
      <w:footerReference r:id="rId3" w:type="default"/>
      <w:pgSz w:w="11906" w:h="16838"/>
      <w:pgMar w:top="1871" w:right="1531" w:bottom="1871" w:left="1531"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Theme="minorEastAsia"/>
                              <w:sz w:val="28"/>
                              <w:szCs w:val="24"/>
                              <w:lang w:eastAsia="zh-CN"/>
                            </w:rPr>
                          </w:pPr>
                          <w:r>
                            <w:rPr>
                              <w:rFonts w:hint="eastAsia" w:ascii="宋体" w:hAnsi="宋体"/>
                              <w:sz w:val="28"/>
                              <w:szCs w:val="24"/>
                              <w:lang w:eastAsia="zh-CN"/>
                            </w:rPr>
                            <w:t>—</w:t>
                          </w:r>
                          <w:r>
                            <w:rPr>
                              <w:rFonts w:ascii="宋体" w:hAnsi="宋体"/>
                              <w:sz w:val="28"/>
                              <w:szCs w:val="24"/>
                            </w:rPr>
                            <w:fldChar w:fldCharType="begin"/>
                          </w:r>
                          <w:r>
                            <w:rPr>
                              <w:rFonts w:ascii="宋体" w:hAnsi="宋体"/>
                              <w:sz w:val="28"/>
                              <w:szCs w:val="24"/>
                            </w:rPr>
                            <w:instrText xml:space="preserve"> PAGE  \* MERGEFORMAT </w:instrText>
                          </w:r>
                          <w:r>
                            <w:rPr>
                              <w:rFonts w:ascii="宋体" w:hAnsi="宋体"/>
                              <w:sz w:val="28"/>
                              <w:szCs w:val="24"/>
                            </w:rPr>
                            <w:fldChar w:fldCharType="separate"/>
                          </w:r>
                          <w:r>
                            <w:rPr>
                              <w:rFonts w:ascii="宋体" w:hAnsi="宋体"/>
                              <w:sz w:val="28"/>
                              <w:szCs w:val="24"/>
                            </w:rPr>
                            <w:t>1</w:t>
                          </w:r>
                          <w:r>
                            <w:rPr>
                              <w:rFonts w:ascii="宋体" w:hAnsi="宋体"/>
                              <w:sz w:val="28"/>
                              <w:szCs w:val="24"/>
                            </w:rPr>
                            <w:fldChar w:fldCharType="end"/>
                          </w:r>
                          <w:r>
                            <w:rPr>
                              <w:rFonts w:hint="eastAsia" w:ascii="宋体" w:hAnsi="宋体"/>
                              <w:sz w:val="28"/>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Theme="minorEastAsia"/>
                        <w:sz w:val="28"/>
                        <w:szCs w:val="24"/>
                        <w:lang w:eastAsia="zh-CN"/>
                      </w:rPr>
                    </w:pPr>
                    <w:r>
                      <w:rPr>
                        <w:rFonts w:hint="eastAsia" w:ascii="宋体" w:hAnsi="宋体"/>
                        <w:sz w:val="28"/>
                        <w:szCs w:val="24"/>
                        <w:lang w:eastAsia="zh-CN"/>
                      </w:rPr>
                      <w:t>—</w:t>
                    </w:r>
                    <w:r>
                      <w:rPr>
                        <w:rFonts w:ascii="宋体" w:hAnsi="宋体"/>
                        <w:sz w:val="28"/>
                        <w:szCs w:val="24"/>
                      </w:rPr>
                      <w:fldChar w:fldCharType="begin"/>
                    </w:r>
                    <w:r>
                      <w:rPr>
                        <w:rFonts w:ascii="宋体" w:hAnsi="宋体"/>
                        <w:sz w:val="28"/>
                        <w:szCs w:val="24"/>
                      </w:rPr>
                      <w:instrText xml:space="preserve"> PAGE  \* MERGEFORMAT </w:instrText>
                    </w:r>
                    <w:r>
                      <w:rPr>
                        <w:rFonts w:ascii="宋体" w:hAnsi="宋体"/>
                        <w:sz w:val="28"/>
                        <w:szCs w:val="24"/>
                      </w:rPr>
                      <w:fldChar w:fldCharType="separate"/>
                    </w:r>
                    <w:r>
                      <w:rPr>
                        <w:rFonts w:ascii="宋体" w:hAnsi="宋体"/>
                        <w:sz w:val="28"/>
                        <w:szCs w:val="24"/>
                      </w:rPr>
                      <w:t>1</w:t>
                    </w:r>
                    <w:r>
                      <w:rPr>
                        <w:rFonts w:ascii="宋体" w:hAnsi="宋体"/>
                        <w:sz w:val="28"/>
                        <w:szCs w:val="24"/>
                      </w:rPr>
                      <w:fldChar w:fldCharType="end"/>
                    </w:r>
                    <w:r>
                      <w:rPr>
                        <w:rFonts w:hint="eastAsia" w:ascii="宋体" w:hAnsi="宋体"/>
                        <w:sz w:val="28"/>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ZjI2MmM1YmU0YTViOTY0MmExYTQzNzYzOTA0YmIifQ=="/>
    <w:docVar w:name="KSO_WPS_MARK_KEY" w:val="72d54276-038d-436a-b38c-8e3cf6e4ef76"/>
  </w:docVars>
  <w:rsids>
    <w:rsidRoot w:val="5E6A612B"/>
    <w:rsid w:val="001D22BC"/>
    <w:rsid w:val="00E8118D"/>
    <w:rsid w:val="00FB5937"/>
    <w:rsid w:val="00FC3E1B"/>
    <w:rsid w:val="01AB7368"/>
    <w:rsid w:val="022C27C5"/>
    <w:rsid w:val="022D1D83"/>
    <w:rsid w:val="025A34EF"/>
    <w:rsid w:val="02A62291"/>
    <w:rsid w:val="02F1760D"/>
    <w:rsid w:val="0383779E"/>
    <w:rsid w:val="03914CEF"/>
    <w:rsid w:val="042B1948"/>
    <w:rsid w:val="042C4A18"/>
    <w:rsid w:val="04460AFF"/>
    <w:rsid w:val="046B5540"/>
    <w:rsid w:val="05CC0260"/>
    <w:rsid w:val="06005381"/>
    <w:rsid w:val="060E35D8"/>
    <w:rsid w:val="06DA7AD6"/>
    <w:rsid w:val="0701218C"/>
    <w:rsid w:val="074F1149"/>
    <w:rsid w:val="07634BF4"/>
    <w:rsid w:val="07E04497"/>
    <w:rsid w:val="07F33EF2"/>
    <w:rsid w:val="08347967"/>
    <w:rsid w:val="085061C8"/>
    <w:rsid w:val="085D538F"/>
    <w:rsid w:val="087A4235"/>
    <w:rsid w:val="08C86452"/>
    <w:rsid w:val="08CA70F3"/>
    <w:rsid w:val="092269B9"/>
    <w:rsid w:val="09975029"/>
    <w:rsid w:val="09B51008"/>
    <w:rsid w:val="09FF7D8F"/>
    <w:rsid w:val="0A1B3564"/>
    <w:rsid w:val="0A9B0BDD"/>
    <w:rsid w:val="0ADF0BB9"/>
    <w:rsid w:val="0B711767"/>
    <w:rsid w:val="0BB30DED"/>
    <w:rsid w:val="0C0369A6"/>
    <w:rsid w:val="0C5B40EC"/>
    <w:rsid w:val="0C883F55"/>
    <w:rsid w:val="0CC81182"/>
    <w:rsid w:val="0D032E9B"/>
    <w:rsid w:val="0D181FDD"/>
    <w:rsid w:val="0D6C7B25"/>
    <w:rsid w:val="0DBE4B1B"/>
    <w:rsid w:val="0DE83843"/>
    <w:rsid w:val="0F073469"/>
    <w:rsid w:val="0F84395A"/>
    <w:rsid w:val="100B5E29"/>
    <w:rsid w:val="106B68C8"/>
    <w:rsid w:val="10BC7123"/>
    <w:rsid w:val="10C00446"/>
    <w:rsid w:val="10CA7A92"/>
    <w:rsid w:val="10D91A83"/>
    <w:rsid w:val="11603F53"/>
    <w:rsid w:val="117E6A3C"/>
    <w:rsid w:val="118749B8"/>
    <w:rsid w:val="1219145B"/>
    <w:rsid w:val="125C0BBE"/>
    <w:rsid w:val="12DE4AA2"/>
    <w:rsid w:val="136A2E67"/>
    <w:rsid w:val="137B35AA"/>
    <w:rsid w:val="13960100"/>
    <w:rsid w:val="13CE32F2"/>
    <w:rsid w:val="14D25715"/>
    <w:rsid w:val="1506001B"/>
    <w:rsid w:val="15BA6B35"/>
    <w:rsid w:val="16AE750E"/>
    <w:rsid w:val="16E55626"/>
    <w:rsid w:val="173D778C"/>
    <w:rsid w:val="17546308"/>
    <w:rsid w:val="176127D3"/>
    <w:rsid w:val="17822E75"/>
    <w:rsid w:val="17A77A0D"/>
    <w:rsid w:val="18885C6E"/>
    <w:rsid w:val="18E70460"/>
    <w:rsid w:val="195425EF"/>
    <w:rsid w:val="19F53727"/>
    <w:rsid w:val="1A567545"/>
    <w:rsid w:val="1A57469C"/>
    <w:rsid w:val="1A5F7D07"/>
    <w:rsid w:val="1AC92B69"/>
    <w:rsid w:val="1AFC1190"/>
    <w:rsid w:val="1AFC6A9A"/>
    <w:rsid w:val="1BF754B3"/>
    <w:rsid w:val="1C3B1844"/>
    <w:rsid w:val="1C6012AB"/>
    <w:rsid w:val="1C9955DC"/>
    <w:rsid w:val="1CD54C87"/>
    <w:rsid w:val="1D1B126B"/>
    <w:rsid w:val="1D4012AC"/>
    <w:rsid w:val="1D5C1A72"/>
    <w:rsid w:val="1D7A639C"/>
    <w:rsid w:val="1E514778"/>
    <w:rsid w:val="1E617257"/>
    <w:rsid w:val="1E85324A"/>
    <w:rsid w:val="1E9D7E43"/>
    <w:rsid w:val="1EA37B56"/>
    <w:rsid w:val="1F93515B"/>
    <w:rsid w:val="204E7A91"/>
    <w:rsid w:val="20523600"/>
    <w:rsid w:val="20855784"/>
    <w:rsid w:val="20AE213B"/>
    <w:rsid w:val="20FF49F6"/>
    <w:rsid w:val="21117017"/>
    <w:rsid w:val="214773F8"/>
    <w:rsid w:val="21507B40"/>
    <w:rsid w:val="22146DBF"/>
    <w:rsid w:val="22317971"/>
    <w:rsid w:val="22443021"/>
    <w:rsid w:val="227B47E2"/>
    <w:rsid w:val="22F17F45"/>
    <w:rsid w:val="22F517AC"/>
    <w:rsid w:val="23045086"/>
    <w:rsid w:val="238735C1"/>
    <w:rsid w:val="23C640E9"/>
    <w:rsid w:val="23EA1A91"/>
    <w:rsid w:val="24294678"/>
    <w:rsid w:val="242B44D2"/>
    <w:rsid w:val="242F0BE3"/>
    <w:rsid w:val="24736E44"/>
    <w:rsid w:val="248A5C3C"/>
    <w:rsid w:val="24B30399"/>
    <w:rsid w:val="25974C6F"/>
    <w:rsid w:val="26377520"/>
    <w:rsid w:val="264628F9"/>
    <w:rsid w:val="264D0AF2"/>
    <w:rsid w:val="26CF59AB"/>
    <w:rsid w:val="2742516C"/>
    <w:rsid w:val="27600573"/>
    <w:rsid w:val="27830026"/>
    <w:rsid w:val="279C7AC1"/>
    <w:rsid w:val="27B27B3E"/>
    <w:rsid w:val="27D03788"/>
    <w:rsid w:val="28A8200F"/>
    <w:rsid w:val="28BF1224"/>
    <w:rsid w:val="28CD6CD8"/>
    <w:rsid w:val="29220014"/>
    <w:rsid w:val="29997709"/>
    <w:rsid w:val="29DB1516"/>
    <w:rsid w:val="2A2F2576"/>
    <w:rsid w:val="2A3644B8"/>
    <w:rsid w:val="2A8820F8"/>
    <w:rsid w:val="2A8D151D"/>
    <w:rsid w:val="2B125E66"/>
    <w:rsid w:val="2B4F70BA"/>
    <w:rsid w:val="2B85488A"/>
    <w:rsid w:val="2B91322F"/>
    <w:rsid w:val="2BE611C8"/>
    <w:rsid w:val="2C057779"/>
    <w:rsid w:val="2C2E6CCF"/>
    <w:rsid w:val="2C5A0AE5"/>
    <w:rsid w:val="2CB10619"/>
    <w:rsid w:val="2CD86C3B"/>
    <w:rsid w:val="2CED0E28"/>
    <w:rsid w:val="2D010AED"/>
    <w:rsid w:val="2DC85299"/>
    <w:rsid w:val="2DE53D06"/>
    <w:rsid w:val="2DEC5317"/>
    <w:rsid w:val="2E2A5C54"/>
    <w:rsid w:val="2E89643F"/>
    <w:rsid w:val="2E8A00DF"/>
    <w:rsid w:val="2EDA7AD7"/>
    <w:rsid w:val="2F2902C9"/>
    <w:rsid w:val="2FEA325A"/>
    <w:rsid w:val="31244B45"/>
    <w:rsid w:val="3180282E"/>
    <w:rsid w:val="31BD2001"/>
    <w:rsid w:val="31F449E0"/>
    <w:rsid w:val="31FC446C"/>
    <w:rsid w:val="32342B66"/>
    <w:rsid w:val="326571C3"/>
    <w:rsid w:val="33093FF2"/>
    <w:rsid w:val="33430585"/>
    <w:rsid w:val="33EB02D7"/>
    <w:rsid w:val="33F56325"/>
    <w:rsid w:val="341E7629"/>
    <w:rsid w:val="3475776A"/>
    <w:rsid w:val="34967B08"/>
    <w:rsid w:val="34FB289E"/>
    <w:rsid w:val="3533663A"/>
    <w:rsid w:val="3537234B"/>
    <w:rsid w:val="361B6516"/>
    <w:rsid w:val="36CD3B59"/>
    <w:rsid w:val="37225683"/>
    <w:rsid w:val="37694E77"/>
    <w:rsid w:val="37A01DEC"/>
    <w:rsid w:val="380049E2"/>
    <w:rsid w:val="386A108F"/>
    <w:rsid w:val="38786CAE"/>
    <w:rsid w:val="38D75353"/>
    <w:rsid w:val="38D8249D"/>
    <w:rsid w:val="38EA0FCE"/>
    <w:rsid w:val="394F0285"/>
    <w:rsid w:val="39BE32A7"/>
    <w:rsid w:val="39EB2B8D"/>
    <w:rsid w:val="39F2049F"/>
    <w:rsid w:val="3A0D6176"/>
    <w:rsid w:val="3A6015BE"/>
    <w:rsid w:val="3B3A743F"/>
    <w:rsid w:val="3B4C512E"/>
    <w:rsid w:val="3B8325B2"/>
    <w:rsid w:val="3B8F6E75"/>
    <w:rsid w:val="3BF108D4"/>
    <w:rsid w:val="3C0D06AF"/>
    <w:rsid w:val="3C4349DD"/>
    <w:rsid w:val="3C97441D"/>
    <w:rsid w:val="3CB23005"/>
    <w:rsid w:val="3CC0115D"/>
    <w:rsid w:val="3CCD5E9A"/>
    <w:rsid w:val="3CDD20B9"/>
    <w:rsid w:val="3D577B08"/>
    <w:rsid w:val="3DB159B2"/>
    <w:rsid w:val="3E6F345B"/>
    <w:rsid w:val="3E777221"/>
    <w:rsid w:val="3EA451FF"/>
    <w:rsid w:val="3EAD3FF2"/>
    <w:rsid w:val="3FA350DE"/>
    <w:rsid w:val="400242A3"/>
    <w:rsid w:val="409018AF"/>
    <w:rsid w:val="40956EC5"/>
    <w:rsid w:val="409969B6"/>
    <w:rsid w:val="40E13EB9"/>
    <w:rsid w:val="40E568A6"/>
    <w:rsid w:val="418C651A"/>
    <w:rsid w:val="41C07F72"/>
    <w:rsid w:val="42044C40"/>
    <w:rsid w:val="42C777A3"/>
    <w:rsid w:val="436C400E"/>
    <w:rsid w:val="43A55AC7"/>
    <w:rsid w:val="43BA2B9E"/>
    <w:rsid w:val="44215B66"/>
    <w:rsid w:val="44AD0C81"/>
    <w:rsid w:val="455A6A69"/>
    <w:rsid w:val="456E0B73"/>
    <w:rsid w:val="458B6AE9"/>
    <w:rsid w:val="45C85D9B"/>
    <w:rsid w:val="46050649"/>
    <w:rsid w:val="46872995"/>
    <w:rsid w:val="46A460B4"/>
    <w:rsid w:val="46D85D5E"/>
    <w:rsid w:val="483D4F6D"/>
    <w:rsid w:val="48E24C72"/>
    <w:rsid w:val="48F86243"/>
    <w:rsid w:val="494E1A8E"/>
    <w:rsid w:val="497A134E"/>
    <w:rsid w:val="4AC94908"/>
    <w:rsid w:val="4ADA22BA"/>
    <w:rsid w:val="4AF241A0"/>
    <w:rsid w:val="4B2E23F0"/>
    <w:rsid w:val="4C951ABB"/>
    <w:rsid w:val="4CB00FA2"/>
    <w:rsid w:val="4CF414EB"/>
    <w:rsid w:val="4D5B02CA"/>
    <w:rsid w:val="4DF036EE"/>
    <w:rsid w:val="4EDE412D"/>
    <w:rsid w:val="4EDF1E27"/>
    <w:rsid w:val="4F5148FF"/>
    <w:rsid w:val="50606888"/>
    <w:rsid w:val="507E34D2"/>
    <w:rsid w:val="50986A43"/>
    <w:rsid w:val="50D15327"/>
    <w:rsid w:val="51375F8E"/>
    <w:rsid w:val="51402E7D"/>
    <w:rsid w:val="519B00B4"/>
    <w:rsid w:val="51A27892"/>
    <w:rsid w:val="521921A4"/>
    <w:rsid w:val="526B3F2A"/>
    <w:rsid w:val="527252B8"/>
    <w:rsid w:val="52B753C1"/>
    <w:rsid w:val="53346A12"/>
    <w:rsid w:val="539246F5"/>
    <w:rsid w:val="541173F7"/>
    <w:rsid w:val="542E6703"/>
    <w:rsid w:val="555929FF"/>
    <w:rsid w:val="56170651"/>
    <w:rsid w:val="569B7D3A"/>
    <w:rsid w:val="57801BCC"/>
    <w:rsid w:val="579C48DF"/>
    <w:rsid w:val="57C81475"/>
    <w:rsid w:val="57D4431F"/>
    <w:rsid w:val="581F559B"/>
    <w:rsid w:val="58482819"/>
    <w:rsid w:val="587C29ED"/>
    <w:rsid w:val="58B73A25"/>
    <w:rsid w:val="58C93758"/>
    <w:rsid w:val="59684D1F"/>
    <w:rsid w:val="598D4786"/>
    <w:rsid w:val="59DE4FE1"/>
    <w:rsid w:val="5A051B1A"/>
    <w:rsid w:val="5A0D5409"/>
    <w:rsid w:val="5A421A14"/>
    <w:rsid w:val="5A7D0C9E"/>
    <w:rsid w:val="5AC643F3"/>
    <w:rsid w:val="5B274B71"/>
    <w:rsid w:val="5CA20832"/>
    <w:rsid w:val="5D16575E"/>
    <w:rsid w:val="5D7F5AF4"/>
    <w:rsid w:val="5D8365CC"/>
    <w:rsid w:val="5DDA1263"/>
    <w:rsid w:val="5E5F0DE7"/>
    <w:rsid w:val="5E602469"/>
    <w:rsid w:val="5E60690D"/>
    <w:rsid w:val="5E6A612B"/>
    <w:rsid w:val="5E7E2B8A"/>
    <w:rsid w:val="5E820631"/>
    <w:rsid w:val="5EBD5B0D"/>
    <w:rsid w:val="5F023620"/>
    <w:rsid w:val="5F0246D2"/>
    <w:rsid w:val="5F6B7317"/>
    <w:rsid w:val="5FA41CA6"/>
    <w:rsid w:val="5FB754AB"/>
    <w:rsid w:val="5FC47BB7"/>
    <w:rsid w:val="5FC72423"/>
    <w:rsid w:val="612D1B5C"/>
    <w:rsid w:val="614C3178"/>
    <w:rsid w:val="61CB4063"/>
    <w:rsid w:val="62A5297F"/>
    <w:rsid w:val="63155F18"/>
    <w:rsid w:val="632A1297"/>
    <w:rsid w:val="635A677D"/>
    <w:rsid w:val="63C10EEF"/>
    <w:rsid w:val="63C27722"/>
    <w:rsid w:val="64C002CD"/>
    <w:rsid w:val="65134704"/>
    <w:rsid w:val="653E74FB"/>
    <w:rsid w:val="65EA2D50"/>
    <w:rsid w:val="66083B12"/>
    <w:rsid w:val="660F66C6"/>
    <w:rsid w:val="6647071F"/>
    <w:rsid w:val="66833198"/>
    <w:rsid w:val="66E4146C"/>
    <w:rsid w:val="670047E9"/>
    <w:rsid w:val="67033058"/>
    <w:rsid w:val="67602DEA"/>
    <w:rsid w:val="678A0557"/>
    <w:rsid w:val="68424C4D"/>
    <w:rsid w:val="68852377"/>
    <w:rsid w:val="68FF21C1"/>
    <w:rsid w:val="69A91741"/>
    <w:rsid w:val="69F36887"/>
    <w:rsid w:val="6A3C6480"/>
    <w:rsid w:val="6A5E499E"/>
    <w:rsid w:val="6A6B28C1"/>
    <w:rsid w:val="6AEF6ECA"/>
    <w:rsid w:val="6B545A50"/>
    <w:rsid w:val="6BE26E62"/>
    <w:rsid w:val="6C0905E4"/>
    <w:rsid w:val="6C501D6F"/>
    <w:rsid w:val="6C5E0930"/>
    <w:rsid w:val="6C8574C7"/>
    <w:rsid w:val="6CCB24D6"/>
    <w:rsid w:val="6D2D3E5E"/>
    <w:rsid w:val="6D576E7A"/>
    <w:rsid w:val="6DDC5565"/>
    <w:rsid w:val="6E2D07D3"/>
    <w:rsid w:val="6E6349EF"/>
    <w:rsid w:val="6E8C5BF8"/>
    <w:rsid w:val="6E9323A2"/>
    <w:rsid w:val="6ECE341F"/>
    <w:rsid w:val="6EEB0DC0"/>
    <w:rsid w:val="6F3C2A7E"/>
    <w:rsid w:val="6F7A7850"/>
    <w:rsid w:val="6FF51C3C"/>
    <w:rsid w:val="70091892"/>
    <w:rsid w:val="70D754EC"/>
    <w:rsid w:val="715468C3"/>
    <w:rsid w:val="71D534F8"/>
    <w:rsid w:val="72412DFB"/>
    <w:rsid w:val="732D3AE9"/>
    <w:rsid w:val="7382461E"/>
    <w:rsid w:val="73E50B3D"/>
    <w:rsid w:val="74220495"/>
    <w:rsid w:val="74582FF5"/>
    <w:rsid w:val="749878CA"/>
    <w:rsid w:val="75324707"/>
    <w:rsid w:val="757A6B22"/>
    <w:rsid w:val="75C13046"/>
    <w:rsid w:val="75DE663D"/>
    <w:rsid w:val="75F0011F"/>
    <w:rsid w:val="76536CC9"/>
    <w:rsid w:val="76982C90"/>
    <w:rsid w:val="77175F68"/>
    <w:rsid w:val="77505319"/>
    <w:rsid w:val="778E6BFD"/>
    <w:rsid w:val="77E739E5"/>
    <w:rsid w:val="78267E28"/>
    <w:rsid w:val="789E72F3"/>
    <w:rsid w:val="78A82CE8"/>
    <w:rsid w:val="78C53AE4"/>
    <w:rsid w:val="79186F63"/>
    <w:rsid w:val="79455C0B"/>
    <w:rsid w:val="79766B8D"/>
    <w:rsid w:val="79E63A92"/>
    <w:rsid w:val="7A077167"/>
    <w:rsid w:val="7A234421"/>
    <w:rsid w:val="7A865C95"/>
    <w:rsid w:val="7AF20495"/>
    <w:rsid w:val="7AFB37ED"/>
    <w:rsid w:val="7B0D0200"/>
    <w:rsid w:val="7B735D14"/>
    <w:rsid w:val="7BE91898"/>
    <w:rsid w:val="7BEC1860"/>
    <w:rsid w:val="7C0260A5"/>
    <w:rsid w:val="7C211B08"/>
    <w:rsid w:val="7C960676"/>
    <w:rsid w:val="7D8C4BD1"/>
    <w:rsid w:val="7E9D7B39"/>
    <w:rsid w:val="7EB75AE5"/>
    <w:rsid w:val="7EBB6578"/>
    <w:rsid w:val="7F14777D"/>
    <w:rsid w:val="7F2D28C9"/>
    <w:rsid w:val="7F97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MicrosoftYaHei" w:hAnsi="MicrosoftYaHei" w:eastAsia="MicrosoftYaHei" w:cs="MicrosoftYaHei"/>
      <w:color w:val="333333"/>
      <w:kern w:val="0"/>
      <w:sz w:val="33"/>
      <w:szCs w:val="33"/>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rPr>
      <w:rFonts w:ascii="Calibri" w:hAnsi="Calibri" w:eastAsia="仿宋_GB2312" w:cs="Times New Roman"/>
      <w:sz w:val="32"/>
      <w:szCs w:val="2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333333"/>
      <w:u w:val="none"/>
    </w:rPr>
  </w:style>
  <w:style w:type="paragraph" w:customStyle="1" w:styleId="12">
    <w:name w:val="Body Text First Indent 21"/>
    <w:basedOn w:val="13"/>
    <w:qFormat/>
    <w:uiPriority w:val="99"/>
    <w:pPr>
      <w:ind w:firstLine="420"/>
    </w:pPr>
  </w:style>
  <w:style w:type="paragraph" w:customStyle="1" w:styleId="13">
    <w:name w:val="Body Text Indent1"/>
    <w:basedOn w:val="1"/>
    <w:qFormat/>
    <w:uiPriority w:val="99"/>
    <w:pPr>
      <w:ind w:firstLine="640" w:firstLineChars="200"/>
    </w:pPr>
    <w:rPr>
      <w:rFonts w:ascii="仿宋_GB2312"/>
    </w:rPr>
  </w:style>
  <w:style w:type="paragraph" w:customStyle="1" w:styleId="14">
    <w:name w:val="Other|1"/>
    <w:basedOn w:val="1"/>
    <w:qFormat/>
    <w:uiPriority w:val="0"/>
    <w:pPr>
      <w:spacing w:line="442" w:lineRule="auto"/>
      <w:ind w:firstLine="400"/>
    </w:pPr>
    <w:rPr>
      <w:rFonts w:ascii="宋体" w:hAnsi="宋体" w:eastAsia="宋体"/>
      <w:color w:val="auto"/>
      <w:sz w:val="28"/>
      <w:szCs w:val="28"/>
      <w:lang w:val="zh-TW" w:eastAsia="zh-TW"/>
    </w:rPr>
  </w:style>
  <w:style w:type="paragraph" w:customStyle="1" w:styleId="15">
    <w:name w:val="Other|2"/>
    <w:basedOn w:val="1"/>
    <w:qFormat/>
    <w:uiPriority w:val="0"/>
    <w:pPr>
      <w:spacing w:before="90"/>
      <w:jc w:val="center"/>
    </w:pPr>
    <w:rPr>
      <w:rFonts w:ascii="宋体" w:hAnsi="宋体" w:eastAsia="宋体"/>
      <w:color w:val="auto"/>
      <w:sz w:val="20"/>
      <w:szCs w:val="20"/>
      <w:lang w:val="zh-TW" w:eastAsia="zh-TW"/>
    </w:rPr>
  </w:style>
  <w:style w:type="paragraph" w:customStyle="1" w:styleId="16">
    <w:name w:val="四级标题"/>
    <w:basedOn w:val="4"/>
    <w:next w:val="1"/>
    <w:qFormat/>
    <w:uiPriority w:val="0"/>
    <w:pPr>
      <w:ind w:left="0" w:leftChars="0"/>
    </w:pPr>
    <w:rPr>
      <w:rFonts w:eastAsia="黑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5019</Words>
  <Characters>5263</Characters>
  <Lines>0</Lines>
  <Paragraphs>0</Paragraphs>
  <TotalTime>223</TotalTime>
  <ScaleCrop>false</ScaleCrop>
  <LinksUpToDate>false</LinksUpToDate>
  <CharactersWithSpaces>5282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2023-02-06T01:22:00Z</dcterms:created>
  <dc:creator>Administrator</dc:creator>
  <cp:lastModifiedBy>客户</cp:lastModifiedBy>
  <cp:lastPrinted>2023-02-07T02:17:00Z</cp:lastPrinted>
  <dcterms:modified xsi:type="dcterms:W3CDTF">2024-02-08T02:16:37Z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F3A89DC3F6EB4C4980ECB3463BEFC556</vt:lpwstr>
  </property>
</Properties>
</file>